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08F3F" w14:textId="67429DB1" w:rsidR="00F87039" w:rsidRPr="00793E94" w:rsidRDefault="00F87039" w:rsidP="0098652A">
      <w:pPr>
        <w:spacing w:after="0"/>
        <w:rPr>
          <w:rFonts w:ascii="Arial" w:hAnsi="Arial" w:cs="Arial"/>
        </w:rPr>
      </w:pPr>
    </w:p>
    <w:p w14:paraId="01A86BB1" w14:textId="396A1BB3" w:rsidR="003F4E8E" w:rsidRPr="00793E94" w:rsidRDefault="003F4E8E" w:rsidP="0098652A">
      <w:pPr>
        <w:spacing w:after="0"/>
        <w:rPr>
          <w:rFonts w:ascii="Arial" w:hAnsi="Arial" w:cs="Arial"/>
        </w:rPr>
      </w:pPr>
    </w:p>
    <w:p w14:paraId="36B577BF" w14:textId="6ABFAC6E" w:rsidR="003F4E8E" w:rsidRPr="00793E94" w:rsidRDefault="003F4E8E" w:rsidP="0098652A">
      <w:pPr>
        <w:spacing w:after="0"/>
        <w:rPr>
          <w:rFonts w:ascii="Arial" w:hAnsi="Arial" w:cs="Arial"/>
        </w:rPr>
      </w:pPr>
    </w:p>
    <w:p w14:paraId="29FDA98E" w14:textId="77777777" w:rsidR="00E17D0D" w:rsidRPr="00793E94" w:rsidRDefault="00E17D0D" w:rsidP="0098652A">
      <w:pPr>
        <w:shd w:val="clear" w:color="auto" w:fill="FFFFFF"/>
        <w:spacing w:after="0" w:line="240" w:lineRule="auto"/>
        <w:jc w:val="center"/>
        <w:rPr>
          <w:rFonts w:ascii="Arial" w:eastAsia="Times New Roman" w:hAnsi="Arial" w:cs="Arial"/>
          <w:color w:val="000000"/>
          <w:sz w:val="24"/>
          <w:szCs w:val="24"/>
          <w:bdr w:val="none" w:sz="0" w:space="0" w:color="auto" w:frame="1"/>
          <w:lang w:eastAsia="en-GB"/>
        </w:rPr>
      </w:pPr>
      <w:r w:rsidRPr="00793E94">
        <w:rPr>
          <w:rFonts w:ascii="Arial" w:eastAsia="Times New Roman" w:hAnsi="Arial" w:cs="Arial"/>
          <w:noProof/>
          <w:color w:val="000000"/>
          <w:sz w:val="24"/>
          <w:szCs w:val="24"/>
          <w:bdr w:val="none" w:sz="0" w:space="0" w:color="auto" w:frame="1"/>
          <w:lang w:eastAsia="en-GB"/>
        </w:rPr>
        <w:drawing>
          <wp:inline distT="0" distB="0" distL="0" distR="0" wp14:anchorId="035E77F8" wp14:editId="61AF20C8">
            <wp:extent cx="2273643" cy="1276563"/>
            <wp:effectExtent l="0" t="0" r="0" b="0"/>
            <wp:docPr id="6" name="Picture 6"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with medium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13091" cy="1298712"/>
                    </a:xfrm>
                    <a:prstGeom prst="rect">
                      <a:avLst/>
                    </a:prstGeom>
                    <a:noFill/>
                    <a:ln>
                      <a:noFill/>
                    </a:ln>
                  </pic:spPr>
                </pic:pic>
              </a:graphicData>
            </a:graphic>
          </wp:inline>
        </w:drawing>
      </w:r>
    </w:p>
    <w:p w14:paraId="60F41DAF" w14:textId="1023AC73" w:rsidR="00E17D0D" w:rsidRPr="00793E94" w:rsidRDefault="00E17D0D" w:rsidP="0098652A">
      <w:pPr>
        <w:spacing w:after="0"/>
        <w:rPr>
          <w:rFonts w:ascii="Arial" w:hAnsi="Arial" w:cs="Arial"/>
        </w:rPr>
      </w:pPr>
    </w:p>
    <w:p w14:paraId="439B8481" w14:textId="403722B4" w:rsidR="00E17D0D" w:rsidRPr="00793E94" w:rsidRDefault="00E17D0D" w:rsidP="0098652A">
      <w:pPr>
        <w:spacing w:after="0"/>
        <w:rPr>
          <w:rFonts w:ascii="Arial" w:hAnsi="Arial" w:cs="Arial"/>
        </w:rPr>
      </w:pPr>
    </w:p>
    <w:p w14:paraId="34B9891E" w14:textId="31B17941" w:rsidR="00E17D0D" w:rsidRPr="0098652A" w:rsidRDefault="00793E94" w:rsidP="0064214F">
      <w:pPr>
        <w:spacing w:after="0"/>
        <w:jc w:val="center"/>
        <w:rPr>
          <w:rFonts w:ascii="Arial" w:hAnsi="Arial" w:cs="Arial"/>
          <w:b/>
          <w:bCs/>
          <w:sz w:val="64"/>
          <w:szCs w:val="64"/>
        </w:rPr>
      </w:pPr>
      <w:r w:rsidRPr="0098652A">
        <w:rPr>
          <w:rFonts w:ascii="Arial" w:hAnsi="Arial" w:cs="Arial"/>
          <w:b/>
          <w:bCs/>
          <w:sz w:val="64"/>
          <w:szCs w:val="64"/>
        </w:rPr>
        <w:t>FINANCIAL BRIEFING</w:t>
      </w:r>
    </w:p>
    <w:p w14:paraId="6E98CCC7" w14:textId="57AAF19E" w:rsidR="00793E94" w:rsidRDefault="00793E94" w:rsidP="0098652A">
      <w:pPr>
        <w:spacing w:after="0"/>
        <w:rPr>
          <w:rFonts w:ascii="Arial" w:hAnsi="Arial" w:cs="Arial"/>
        </w:rPr>
      </w:pPr>
    </w:p>
    <w:p w14:paraId="540427DE" w14:textId="77777777" w:rsidR="001620CE" w:rsidRPr="00793E94" w:rsidRDefault="001620CE" w:rsidP="0098652A">
      <w:pPr>
        <w:spacing w:after="0"/>
        <w:rPr>
          <w:rFonts w:ascii="Arial" w:hAnsi="Arial" w:cs="Arial"/>
        </w:rPr>
      </w:pPr>
    </w:p>
    <w:p w14:paraId="679DA980" w14:textId="7AFA5BAF" w:rsidR="00F87039" w:rsidRPr="001620CE" w:rsidRDefault="00F87039" w:rsidP="0098652A">
      <w:pPr>
        <w:spacing w:after="0"/>
        <w:rPr>
          <w:rFonts w:ascii="Arial" w:hAnsi="Arial" w:cs="Arial"/>
          <w:b/>
          <w:bCs/>
          <w:sz w:val="20"/>
          <w:szCs w:val="20"/>
          <w:u w:val="single"/>
        </w:rPr>
      </w:pPr>
      <w:r w:rsidRPr="001620CE">
        <w:rPr>
          <w:rFonts w:ascii="Arial" w:hAnsi="Arial" w:cs="Arial"/>
          <w:b/>
          <w:bCs/>
          <w:sz w:val="20"/>
          <w:szCs w:val="20"/>
          <w:u w:val="single"/>
        </w:rPr>
        <w:t>Background</w:t>
      </w:r>
    </w:p>
    <w:p w14:paraId="5E82B6C8" w14:textId="77777777" w:rsidR="001620CE" w:rsidRDefault="001620CE" w:rsidP="0098652A">
      <w:pPr>
        <w:spacing w:after="0"/>
        <w:rPr>
          <w:rFonts w:ascii="Arial" w:hAnsi="Arial" w:cs="Arial"/>
          <w:sz w:val="20"/>
          <w:szCs w:val="20"/>
        </w:rPr>
      </w:pPr>
    </w:p>
    <w:p w14:paraId="5FE3B61B" w14:textId="2AAA3367" w:rsidR="00977B4B" w:rsidRPr="001620CE" w:rsidRDefault="009F716A" w:rsidP="0098652A">
      <w:pPr>
        <w:spacing w:after="0"/>
        <w:rPr>
          <w:rFonts w:ascii="Arial" w:hAnsi="Arial" w:cs="Arial"/>
          <w:sz w:val="20"/>
          <w:szCs w:val="20"/>
        </w:rPr>
      </w:pPr>
      <w:r w:rsidRPr="001620CE">
        <w:rPr>
          <w:rFonts w:ascii="Arial" w:hAnsi="Arial" w:cs="Arial"/>
          <w:sz w:val="20"/>
          <w:szCs w:val="20"/>
        </w:rPr>
        <w:t>I</w:t>
      </w:r>
      <w:r w:rsidR="00977B4B" w:rsidRPr="001620CE">
        <w:rPr>
          <w:rFonts w:ascii="Arial" w:hAnsi="Arial" w:cs="Arial"/>
          <w:sz w:val="20"/>
          <w:szCs w:val="20"/>
        </w:rPr>
        <w:t>n 2020, 52% of the clubs in our top four divisions – that is before the pandemic – were technically insolvent. That is clearly unsustainable. If you strip out the Premier League that figure rises to 61%.</w:t>
      </w:r>
    </w:p>
    <w:p w14:paraId="5E54F75A" w14:textId="7CA22769" w:rsidR="00977B4B" w:rsidRPr="001620CE" w:rsidRDefault="00977B4B" w:rsidP="0098652A">
      <w:pPr>
        <w:spacing w:after="0"/>
        <w:rPr>
          <w:rFonts w:ascii="Arial" w:hAnsi="Arial" w:cs="Arial"/>
          <w:sz w:val="20"/>
          <w:szCs w:val="20"/>
        </w:rPr>
      </w:pPr>
    </w:p>
    <w:p w14:paraId="05FD44CF" w14:textId="77777777" w:rsidR="00977B4B" w:rsidRPr="001620CE" w:rsidRDefault="00977B4B" w:rsidP="0098652A">
      <w:pPr>
        <w:spacing w:after="0"/>
        <w:rPr>
          <w:rFonts w:ascii="Arial" w:hAnsi="Arial" w:cs="Arial"/>
          <w:sz w:val="20"/>
          <w:szCs w:val="20"/>
        </w:rPr>
      </w:pPr>
      <w:r w:rsidRPr="001620CE">
        <w:rPr>
          <w:rFonts w:ascii="Arial" w:hAnsi="Arial" w:cs="Arial"/>
          <w:sz w:val="20"/>
          <w:szCs w:val="20"/>
        </w:rPr>
        <w:t>In line with the English Football League, Fair Game believes the percentage allocated from the Premier League’s broadcast rights (£2,340m according to Deloitte in 2020) should return to pre-Sky levels of 25%, equating to a sum of £585m.</w:t>
      </w:r>
    </w:p>
    <w:p w14:paraId="60456B66" w14:textId="77777777" w:rsidR="00977B4B" w:rsidRPr="001620CE" w:rsidRDefault="00977B4B" w:rsidP="0098652A">
      <w:pPr>
        <w:spacing w:after="0"/>
        <w:rPr>
          <w:rFonts w:ascii="Arial" w:hAnsi="Arial" w:cs="Arial"/>
          <w:sz w:val="20"/>
          <w:szCs w:val="20"/>
        </w:rPr>
      </w:pPr>
    </w:p>
    <w:p w14:paraId="70F258AE" w14:textId="54C10B4A" w:rsidR="00977B4B" w:rsidRPr="001620CE" w:rsidRDefault="00977B4B" w:rsidP="0098652A">
      <w:pPr>
        <w:spacing w:after="0"/>
        <w:rPr>
          <w:rFonts w:ascii="Arial" w:hAnsi="Arial" w:cs="Arial"/>
          <w:sz w:val="20"/>
          <w:szCs w:val="20"/>
        </w:rPr>
      </w:pPr>
      <w:r w:rsidRPr="001620CE">
        <w:rPr>
          <w:rFonts w:ascii="Arial" w:hAnsi="Arial" w:cs="Arial"/>
          <w:sz w:val="20"/>
          <w:szCs w:val="20"/>
        </w:rPr>
        <w:t>If this split was achieved, and then combined with Fair Game’s aspirations of a 10% Solidarity Transfer Levy</w:t>
      </w:r>
      <w:r w:rsidR="00BE1ED1" w:rsidRPr="001620CE">
        <w:rPr>
          <w:rFonts w:ascii="Arial" w:hAnsi="Arial" w:cs="Arial"/>
          <w:sz w:val="20"/>
          <w:szCs w:val="20"/>
        </w:rPr>
        <w:t xml:space="preserve"> (estimated to bring in £160m)</w:t>
      </w:r>
      <w:r w:rsidRPr="001620CE">
        <w:rPr>
          <w:rFonts w:ascii="Arial" w:hAnsi="Arial" w:cs="Arial"/>
          <w:sz w:val="20"/>
          <w:szCs w:val="20"/>
        </w:rPr>
        <w:t xml:space="preserve">, this would equate to a maximum available to be distributed throughout the pyramid of £745m. </w:t>
      </w:r>
    </w:p>
    <w:p w14:paraId="04D6B158" w14:textId="4AC3CCC7" w:rsidR="00977B4B" w:rsidRPr="001620CE" w:rsidRDefault="00977B4B" w:rsidP="0098652A">
      <w:pPr>
        <w:spacing w:after="0"/>
        <w:rPr>
          <w:rFonts w:ascii="Arial" w:hAnsi="Arial" w:cs="Arial"/>
          <w:sz w:val="20"/>
          <w:szCs w:val="20"/>
        </w:rPr>
      </w:pPr>
    </w:p>
    <w:p w14:paraId="282A6EF1" w14:textId="4B9DC253" w:rsidR="00977B4B" w:rsidRPr="001620CE" w:rsidRDefault="00977B4B" w:rsidP="0098652A">
      <w:pPr>
        <w:spacing w:after="0"/>
        <w:rPr>
          <w:rFonts w:ascii="Arial" w:hAnsi="Arial" w:cs="Arial"/>
          <w:sz w:val="20"/>
          <w:szCs w:val="20"/>
        </w:rPr>
      </w:pPr>
      <w:r w:rsidRPr="001620CE">
        <w:rPr>
          <w:rFonts w:ascii="Arial" w:hAnsi="Arial" w:cs="Arial"/>
          <w:sz w:val="20"/>
          <w:szCs w:val="20"/>
        </w:rPr>
        <w:t>To protect the ecosystem of football and removed vested interests, this money should be distributed by an independent regulator</w:t>
      </w:r>
    </w:p>
    <w:p w14:paraId="072EA9F2" w14:textId="77777777" w:rsidR="00977B4B" w:rsidRPr="001620CE" w:rsidRDefault="00977B4B" w:rsidP="0098652A">
      <w:pPr>
        <w:spacing w:after="0"/>
        <w:rPr>
          <w:rFonts w:ascii="Arial" w:hAnsi="Arial" w:cs="Arial"/>
          <w:sz w:val="20"/>
          <w:szCs w:val="20"/>
        </w:rPr>
      </w:pPr>
    </w:p>
    <w:p w14:paraId="599DBE5C" w14:textId="719C3ECF" w:rsidR="00977B4B" w:rsidRPr="001620CE" w:rsidRDefault="00977B4B" w:rsidP="0098652A">
      <w:pPr>
        <w:spacing w:after="0"/>
        <w:rPr>
          <w:rFonts w:ascii="Arial" w:hAnsi="Arial" w:cs="Arial"/>
          <w:sz w:val="20"/>
          <w:szCs w:val="20"/>
        </w:rPr>
      </w:pPr>
      <w:r w:rsidRPr="001620CE">
        <w:rPr>
          <w:rFonts w:ascii="Arial" w:hAnsi="Arial" w:cs="Arial"/>
          <w:sz w:val="20"/>
          <w:szCs w:val="20"/>
        </w:rPr>
        <w:t>There are a number of organisations that are currently almost entirely dependent on the Premier League for their funding. To ensure proper independence these organisation</w:t>
      </w:r>
      <w:r w:rsidR="00F87039" w:rsidRPr="001620CE">
        <w:rPr>
          <w:rFonts w:ascii="Arial" w:hAnsi="Arial" w:cs="Arial"/>
          <w:sz w:val="20"/>
          <w:szCs w:val="20"/>
        </w:rPr>
        <w:t>s</w:t>
      </w:r>
      <w:r w:rsidRPr="001620CE">
        <w:rPr>
          <w:rFonts w:ascii="Arial" w:hAnsi="Arial" w:cs="Arial"/>
          <w:sz w:val="20"/>
          <w:szCs w:val="20"/>
        </w:rPr>
        <w:t xml:space="preserve"> should be funded by the Independent Regulator, with 10% </w:t>
      </w:r>
      <w:r w:rsidR="001F5E5D" w:rsidRPr="001620CE">
        <w:rPr>
          <w:rFonts w:ascii="Arial" w:hAnsi="Arial" w:cs="Arial"/>
          <w:sz w:val="20"/>
          <w:szCs w:val="20"/>
        </w:rPr>
        <w:t>allocated to these organisations.</w:t>
      </w:r>
      <w:r w:rsidRPr="001620CE">
        <w:rPr>
          <w:rFonts w:ascii="Arial" w:hAnsi="Arial" w:cs="Arial"/>
          <w:sz w:val="20"/>
          <w:szCs w:val="20"/>
        </w:rPr>
        <w:t xml:space="preserve"> These organisations include:</w:t>
      </w:r>
    </w:p>
    <w:p w14:paraId="6218C617" w14:textId="7100FEEB" w:rsidR="00977B4B" w:rsidRPr="001620CE" w:rsidRDefault="00977B4B" w:rsidP="0098652A">
      <w:pPr>
        <w:pStyle w:val="ListParagraph"/>
        <w:numPr>
          <w:ilvl w:val="0"/>
          <w:numId w:val="3"/>
        </w:numPr>
        <w:spacing w:after="0"/>
        <w:rPr>
          <w:rFonts w:ascii="Arial" w:hAnsi="Arial" w:cs="Arial"/>
          <w:sz w:val="20"/>
          <w:szCs w:val="20"/>
        </w:rPr>
      </w:pPr>
      <w:r w:rsidRPr="001620CE">
        <w:rPr>
          <w:rFonts w:ascii="Arial" w:hAnsi="Arial" w:cs="Arial"/>
          <w:sz w:val="20"/>
          <w:szCs w:val="20"/>
        </w:rPr>
        <w:t>The PFA</w:t>
      </w:r>
    </w:p>
    <w:p w14:paraId="4E4071F5" w14:textId="713C6A5B" w:rsidR="00977B4B" w:rsidRPr="001620CE" w:rsidRDefault="00977B4B" w:rsidP="0098652A">
      <w:pPr>
        <w:pStyle w:val="ListParagraph"/>
        <w:numPr>
          <w:ilvl w:val="0"/>
          <w:numId w:val="3"/>
        </w:numPr>
        <w:spacing w:after="0"/>
        <w:rPr>
          <w:rFonts w:ascii="Arial" w:hAnsi="Arial" w:cs="Arial"/>
          <w:sz w:val="20"/>
          <w:szCs w:val="20"/>
        </w:rPr>
      </w:pPr>
      <w:r w:rsidRPr="001620CE">
        <w:rPr>
          <w:rFonts w:ascii="Arial" w:hAnsi="Arial" w:cs="Arial"/>
          <w:sz w:val="20"/>
          <w:szCs w:val="20"/>
        </w:rPr>
        <w:t>The LMA</w:t>
      </w:r>
    </w:p>
    <w:p w14:paraId="35C9272C" w14:textId="6A10858B" w:rsidR="00977B4B" w:rsidRPr="001620CE" w:rsidRDefault="00977B4B" w:rsidP="0098652A">
      <w:pPr>
        <w:pStyle w:val="ListParagraph"/>
        <w:numPr>
          <w:ilvl w:val="0"/>
          <w:numId w:val="3"/>
        </w:numPr>
        <w:spacing w:after="0"/>
        <w:rPr>
          <w:rFonts w:ascii="Arial" w:hAnsi="Arial" w:cs="Arial"/>
          <w:sz w:val="20"/>
          <w:szCs w:val="20"/>
        </w:rPr>
      </w:pPr>
      <w:r w:rsidRPr="001620CE">
        <w:rPr>
          <w:rFonts w:ascii="Arial" w:hAnsi="Arial" w:cs="Arial"/>
          <w:sz w:val="20"/>
          <w:szCs w:val="20"/>
        </w:rPr>
        <w:t>The FSA</w:t>
      </w:r>
    </w:p>
    <w:p w14:paraId="3F50C1B2" w14:textId="28B635D8" w:rsidR="00977B4B" w:rsidRPr="001620CE" w:rsidRDefault="00977B4B" w:rsidP="0098652A">
      <w:pPr>
        <w:pStyle w:val="ListParagraph"/>
        <w:numPr>
          <w:ilvl w:val="0"/>
          <w:numId w:val="3"/>
        </w:numPr>
        <w:spacing w:after="0"/>
        <w:rPr>
          <w:rFonts w:ascii="Arial" w:hAnsi="Arial" w:cs="Arial"/>
          <w:sz w:val="20"/>
          <w:szCs w:val="20"/>
        </w:rPr>
      </w:pPr>
      <w:r w:rsidRPr="001620CE">
        <w:rPr>
          <w:rFonts w:ascii="Arial" w:hAnsi="Arial" w:cs="Arial"/>
          <w:sz w:val="20"/>
          <w:szCs w:val="20"/>
        </w:rPr>
        <w:t>Kick It Out</w:t>
      </w:r>
    </w:p>
    <w:p w14:paraId="4A199810" w14:textId="339E835E" w:rsidR="00977B4B" w:rsidRPr="001620CE" w:rsidRDefault="00977B4B" w:rsidP="0098652A">
      <w:pPr>
        <w:pStyle w:val="ListParagraph"/>
        <w:numPr>
          <w:ilvl w:val="0"/>
          <w:numId w:val="3"/>
        </w:numPr>
        <w:spacing w:after="0"/>
        <w:rPr>
          <w:rFonts w:ascii="Arial" w:hAnsi="Arial" w:cs="Arial"/>
          <w:sz w:val="20"/>
          <w:szCs w:val="20"/>
        </w:rPr>
      </w:pPr>
      <w:r w:rsidRPr="001620CE">
        <w:rPr>
          <w:rFonts w:ascii="Arial" w:hAnsi="Arial" w:cs="Arial"/>
          <w:sz w:val="20"/>
          <w:szCs w:val="20"/>
        </w:rPr>
        <w:t>Level Playing Field</w:t>
      </w:r>
    </w:p>
    <w:p w14:paraId="753C2BE7" w14:textId="77777777" w:rsidR="00977B4B" w:rsidRPr="001620CE" w:rsidRDefault="00977B4B" w:rsidP="0098652A">
      <w:pPr>
        <w:spacing w:after="0"/>
        <w:rPr>
          <w:rFonts w:ascii="Arial" w:hAnsi="Arial" w:cs="Arial"/>
          <w:sz w:val="20"/>
          <w:szCs w:val="20"/>
        </w:rPr>
      </w:pPr>
    </w:p>
    <w:p w14:paraId="78653EFA" w14:textId="2B4485A5" w:rsidR="001F5E5D" w:rsidRPr="001620CE" w:rsidRDefault="00977B4B" w:rsidP="0098652A">
      <w:pPr>
        <w:spacing w:after="0"/>
        <w:rPr>
          <w:rFonts w:ascii="Arial" w:hAnsi="Arial" w:cs="Arial"/>
          <w:sz w:val="20"/>
          <w:szCs w:val="20"/>
        </w:rPr>
      </w:pPr>
      <w:r w:rsidRPr="001620CE">
        <w:rPr>
          <w:rFonts w:ascii="Arial" w:hAnsi="Arial" w:cs="Arial"/>
          <w:sz w:val="20"/>
          <w:szCs w:val="20"/>
        </w:rPr>
        <w:t xml:space="preserve">This would leave a total of </w:t>
      </w:r>
      <w:r w:rsidRPr="001620CE">
        <w:rPr>
          <w:rFonts w:ascii="Arial" w:hAnsi="Arial" w:cs="Arial"/>
          <w:b/>
          <w:bCs/>
          <w:sz w:val="20"/>
          <w:szCs w:val="20"/>
        </w:rPr>
        <w:t>£</w:t>
      </w:r>
      <w:r w:rsidR="001F5E5D" w:rsidRPr="001620CE">
        <w:rPr>
          <w:rFonts w:ascii="Arial" w:hAnsi="Arial" w:cs="Arial"/>
          <w:b/>
          <w:bCs/>
          <w:sz w:val="20"/>
          <w:szCs w:val="20"/>
        </w:rPr>
        <w:t>670.5</w:t>
      </w:r>
      <w:r w:rsidRPr="001620CE">
        <w:rPr>
          <w:rFonts w:ascii="Arial" w:hAnsi="Arial" w:cs="Arial"/>
          <w:b/>
          <w:bCs/>
          <w:sz w:val="20"/>
          <w:szCs w:val="20"/>
        </w:rPr>
        <w:t>m</w:t>
      </w:r>
      <w:r w:rsidR="001F5E5D" w:rsidRPr="001620CE">
        <w:rPr>
          <w:rFonts w:ascii="Arial" w:hAnsi="Arial" w:cs="Arial"/>
          <w:sz w:val="20"/>
          <w:szCs w:val="20"/>
        </w:rPr>
        <w:t xml:space="preserve"> to be reallocated</w:t>
      </w:r>
      <w:r w:rsidR="00DF68FF" w:rsidRPr="001620CE">
        <w:rPr>
          <w:rFonts w:ascii="Arial" w:hAnsi="Arial" w:cs="Arial"/>
          <w:sz w:val="20"/>
          <w:szCs w:val="20"/>
        </w:rPr>
        <w:t xml:space="preserve"> (15% should be split as baseline funding and the remaining 75% split according to a Sustainability Index)</w:t>
      </w:r>
      <w:r w:rsidR="001F5E5D" w:rsidRPr="001620CE">
        <w:rPr>
          <w:rFonts w:ascii="Arial" w:hAnsi="Arial" w:cs="Arial"/>
          <w:sz w:val="20"/>
          <w:szCs w:val="20"/>
        </w:rPr>
        <w:t>.</w:t>
      </w:r>
    </w:p>
    <w:p w14:paraId="0181AA3E" w14:textId="5DFC525D" w:rsidR="001F5E5D" w:rsidRPr="001620CE" w:rsidRDefault="001F5E5D" w:rsidP="0098652A">
      <w:pPr>
        <w:spacing w:after="0"/>
        <w:rPr>
          <w:rFonts w:ascii="Arial" w:hAnsi="Arial" w:cs="Arial"/>
          <w:sz w:val="20"/>
          <w:szCs w:val="20"/>
        </w:rPr>
      </w:pPr>
    </w:p>
    <w:p w14:paraId="51EF4916" w14:textId="652166FF" w:rsidR="0098652A" w:rsidRPr="001620CE" w:rsidRDefault="00F87039" w:rsidP="0098652A">
      <w:pPr>
        <w:spacing w:after="0"/>
        <w:rPr>
          <w:rFonts w:ascii="Arial" w:hAnsi="Arial" w:cs="Arial"/>
          <w:b/>
          <w:bCs/>
          <w:sz w:val="20"/>
          <w:szCs w:val="20"/>
          <w:u w:val="single"/>
        </w:rPr>
      </w:pPr>
      <w:r w:rsidRPr="001620CE">
        <w:rPr>
          <w:rFonts w:ascii="Arial" w:hAnsi="Arial" w:cs="Arial"/>
          <w:b/>
          <w:bCs/>
          <w:sz w:val="20"/>
          <w:szCs w:val="20"/>
          <w:u w:val="single"/>
        </w:rPr>
        <w:t>The Financial Split</w:t>
      </w:r>
    </w:p>
    <w:p w14:paraId="0289CA54" w14:textId="77777777" w:rsidR="001620CE" w:rsidRDefault="001620CE" w:rsidP="0098652A">
      <w:pPr>
        <w:spacing w:after="0"/>
        <w:rPr>
          <w:rFonts w:ascii="Arial" w:hAnsi="Arial" w:cs="Arial"/>
          <w:sz w:val="20"/>
          <w:szCs w:val="20"/>
        </w:rPr>
      </w:pPr>
    </w:p>
    <w:p w14:paraId="7481B802" w14:textId="14725DEB" w:rsidR="001F5E5D" w:rsidRPr="001620CE" w:rsidRDefault="001F5E5D" w:rsidP="0098652A">
      <w:pPr>
        <w:spacing w:after="0"/>
        <w:rPr>
          <w:rFonts w:ascii="Arial" w:hAnsi="Arial" w:cs="Arial"/>
          <w:sz w:val="20"/>
          <w:szCs w:val="20"/>
        </w:rPr>
      </w:pPr>
      <w:r w:rsidRPr="001620CE">
        <w:rPr>
          <w:rFonts w:ascii="Arial" w:hAnsi="Arial" w:cs="Arial"/>
          <w:sz w:val="20"/>
          <w:szCs w:val="20"/>
        </w:rPr>
        <w:t>At present the financial flow is split as follows</w:t>
      </w:r>
    </w:p>
    <w:p w14:paraId="032FEEED" w14:textId="36F5ABB1" w:rsidR="001F5E5D" w:rsidRPr="001620CE" w:rsidRDefault="001F5E5D" w:rsidP="0098652A">
      <w:pPr>
        <w:pStyle w:val="ListParagraph"/>
        <w:numPr>
          <w:ilvl w:val="0"/>
          <w:numId w:val="4"/>
        </w:numPr>
        <w:spacing w:after="0"/>
        <w:rPr>
          <w:rFonts w:ascii="Arial" w:hAnsi="Arial" w:cs="Arial"/>
          <w:sz w:val="20"/>
          <w:szCs w:val="20"/>
        </w:rPr>
      </w:pPr>
      <w:r w:rsidRPr="001620CE">
        <w:rPr>
          <w:rFonts w:ascii="Arial" w:hAnsi="Arial" w:cs="Arial"/>
          <w:sz w:val="20"/>
          <w:szCs w:val="20"/>
        </w:rPr>
        <w:t>80% to Championships clubs (most of which goes in parachute payments to clubs relegated from the Premier League)</w:t>
      </w:r>
    </w:p>
    <w:p w14:paraId="0BD5C48B" w14:textId="4CCFDD27" w:rsidR="001F5E5D" w:rsidRPr="001620CE" w:rsidRDefault="001F5E5D" w:rsidP="0098652A">
      <w:pPr>
        <w:pStyle w:val="ListParagraph"/>
        <w:numPr>
          <w:ilvl w:val="0"/>
          <w:numId w:val="4"/>
        </w:numPr>
        <w:spacing w:after="0"/>
        <w:rPr>
          <w:rFonts w:ascii="Arial" w:hAnsi="Arial" w:cs="Arial"/>
          <w:sz w:val="20"/>
          <w:szCs w:val="20"/>
        </w:rPr>
      </w:pPr>
      <w:r w:rsidRPr="001620CE">
        <w:rPr>
          <w:rFonts w:ascii="Arial" w:hAnsi="Arial" w:cs="Arial"/>
          <w:sz w:val="20"/>
          <w:szCs w:val="20"/>
        </w:rPr>
        <w:t>12% to League One clubs</w:t>
      </w:r>
    </w:p>
    <w:p w14:paraId="5D63F1B7" w14:textId="15B373A8" w:rsidR="001F5E5D" w:rsidRPr="001620CE" w:rsidRDefault="001F5E5D" w:rsidP="0098652A">
      <w:pPr>
        <w:pStyle w:val="ListParagraph"/>
        <w:numPr>
          <w:ilvl w:val="0"/>
          <w:numId w:val="4"/>
        </w:numPr>
        <w:spacing w:after="0"/>
        <w:rPr>
          <w:rFonts w:ascii="Arial" w:hAnsi="Arial" w:cs="Arial"/>
          <w:sz w:val="20"/>
          <w:szCs w:val="20"/>
        </w:rPr>
      </w:pPr>
      <w:r w:rsidRPr="001620CE">
        <w:rPr>
          <w:rFonts w:ascii="Arial" w:hAnsi="Arial" w:cs="Arial"/>
          <w:sz w:val="20"/>
          <w:szCs w:val="20"/>
        </w:rPr>
        <w:t>8% to League Two clubs</w:t>
      </w:r>
    </w:p>
    <w:p w14:paraId="7530F0DF" w14:textId="7195803D" w:rsidR="001F5E5D" w:rsidRPr="001620CE" w:rsidRDefault="001F5E5D" w:rsidP="0098652A">
      <w:pPr>
        <w:spacing w:after="0"/>
        <w:rPr>
          <w:rFonts w:ascii="Arial" w:hAnsi="Arial" w:cs="Arial"/>
          <w:sz w:val="20"/>
          <w:szCs w:val="20"/>
        </w:rPr>
      </w:pPr>
    </w:p>
    <w:p w14:paraId="0F658D4A" w14:textId="283F152C" w:rsidR="001F5E5D" w:rsidRPr="001620CE" w:rsidRDefault="001F5E5D" w:rsidP="0098652A">
      <w:pPr>
        <w:spacing w:after="0"/>
        <w:rPr>
          <w:rFonts w:ascii="Arial" w:hAnsi="Arial" w:cs="Arial"/>
          <w:sz w:val="20"/>
          <w:szCs w:val="20"/>
        </w:rPr>
      </w:pPr>
      <w:r w:rsidRPr="001620CE">
        <w:rPr>
          <w:rFonts w:ascii="Arial" w:hAnsi="Arial" w:cs="Arial"/>
          <w:sz w:val="20"/>
          <w:szCs w:val="20"/>
        </w:rPr>
        <w:lastRenderedPageBreak/>
        <w:t>However, the attendance split of these clubs are:</w:t>
      </w:r>
    </w:p>
    <w:p w14:paraId="05CC4417" w14:textId="68FBE9BD" w:rsidR="00A64988" w:rsidRPr="001620CE" w:rsidRDefault="00A64988" w:rsidP="0098652A">
      <w:pPr>
        <w:pStyle w:val="ListParagraph"/>
        <w:numPr>
          <w:ilvl w:val="0"/>
          <w:numId w:val="5"/>
        </w:numPr>
        <w:spacing w:after="0"/>
        <w:rPr>
          <w:rFonts w:ascii="Arial" w:hAnsi="Arial" w:cs="Arial"/>
          <w:sz w:val="20"/>
          <w:szCs w:val="20"/>
        </w:rPr>
      </w:pPr>
      <w:r w:rsidRPr="001620CE">
        <w:rPr>
          <w:rFonts w:ascii="Arial" w:hAnsi="Arial" w:cs="Arial"/>
          <w:sz w:val="20"/>
          <w:szCs w:val="20"/>
        </w:rPr>
        <w:t>60% Championship</w:t>
      </w:r>
    </w:p>
    <w:p w14:paraId="085CE779" w14:textId="560A060F" w:rsidR="00A64988" w:rsidRPr="001620CE" w:rsidRDefault="00A64988" w:rsidP="0098652A">
      <w:pPr>
        <w:pStyle w:val="ListParagraph"/>
        <w:numPr>
          <w:ilvl w:val="0"/>
          <w:numId w:val="5"/>
        </w:numPr>
        <w:spacing w:after="0"/>
        <w:rPr>
          <w:rFonts w:ascii="Arial" w:hAnsi="Arial" w:cs="Arial"/>
          <w:sz w:val="20"/>
          <w:szCs w:val="20"/>
        </w:rPr>
      </w:pPr>
      <w:r w:rsidRPr="001620CE">
        <w:rPr>
          <w:rFonts w:ascii="Arial" w:hAnsi="Arial" w:cs="Arial"/>
          <w:sz w:val="20"/>
          <w:szCs w:val="20"/>
        </w:rPr>
        <w:t>25% League One</w:t>
      </w:r>
    </w:p>
    <w:p w14:paraId="171C01E4" w14:textId="28BA1D7F" w:rsidR="001F5E5D" w:rsidRPr="001620CE" w:rsidRDefault="00A64988" w:rsidP="0098652A">
      <w:pPr>
        <w:pStyle w:val="ListParagraph"/>
        <w:numPr>
          <w:ilvl w:val="0"/>
          <w:numId w:val="5"/>
        </w:numPr>
        <w:spacing w:after="0"/>
        <w:rPr>
          <w:rFonts w:ascii="Arial" w:hAnsi="Arial" w:cs="Arial"/>
          <w:sz w:val="20"/>
          <w:szCs w:val="20"/>
        </w:rPr>
      </w:pPr>
      <w:r w:rsidRPr="001620CE">
        <w:rPr>
          <w:rFonts w:ascii="Arial" w:hAnsi="Arial" w:cs="Arial"/>
          <w:sz w:val="20"/>
          <w:szCs w:val="20"/>
        </w:rPr>
        <w:t>15% League Two</w:t>
      </w:r>
    </w:p>
    <w:p w14:paraId="070A485D" w14:textId="5716337B" w:rsidR="00A64988" w:rsidRPr="001620CE" w:rsidRDefault="00A64988" w:rsidP="0098652A">
      <w:pPr>
        <w:spacing w:after="0"/>
        <w:rPr>
          <w:rFonts w:ascii="Arial" w:hAnsi="Arial" w:cs="Arial"/>
          <w:sz w:val="20"/>
          <w:szCs w:val="20"/>
        </w:rPr>
      </w:pPr>
    </w:p>
    <w:p w14:paraId="58F19426" w14:textId="77777777" w:rsidR="00891957" w:rsidRPr="001620CE" w:rsidRDefault="00891957" w:rsidP="0098652A">
      <w:pPr>
        <w:spacing w:after="0"/>
        <w:rPr>
          <w:rFonts w:ascii="Arial" w:hAnsi="Arial" w:cs="Arial"/>
          <w:sz w:val="20"/>
          <w:szCs w:val="20"/>
        </w:rPr>
      </w:pPr>
      <w:r w:rsidRPr="001620CE">
        <w:rPr>
          <w:rFonts w:ascii="Arial" w:hAnsi="Arial" w:cs="Arial"/>
          <w:sz w:val="20"/>
          <w:szCs w:val="20"/>
        </w:rPr>
        <w:t>The voting</w:t>
      </w:r>
    </w:p>
    <w:p w14:paraId="54AA84B1" w14:textId="2919AC3E" w:rsidR="00891957" w:rsidRPr="001620CE" w:rsidRDefault="00891957" w:rsidP="0098652A">
      <w:pPr>
        <w:pStyle w:val="ListParagraph"/>
        <w:numPr>
          <w:ilvl w:val="0"/>
          <w:numId w:val="6"/>
        </w:numPr>
        <w:spacing w:after="0"/>
        <w:rPr>
          <w:rFonts w:ascii="Arial" w:hAnsi="Arial" w:cs="Arial"/>
          <w:sz w:val="20"/>
          <w:szCs w:val="20"/>
        </w:rPr>
      </w:pPr>
      <w:r w:rsidRPr="001620CE">
        <w:rPr>
          <w:rFonts w:ascii="Arial" w:hAnsi="Arial" w:cs="Arial"/>
          <w:sz w:val="20"/>
          <w:szCs w:val="20"/>
        </w:rPr>
        <w:t>50% Championship</w:t>
      </w:r>
    </w:p>
    <w:p w14:paraId="2CB14FCC" w14:textId="4E7DB2B7" w:rsidR="00891957" w:rsidRPr="001620CE" w:rsidRDefault="00891957" w:rsidP="0098652A">
      <w:pPr>
        <w:pStyle w:val="ListParagraph"/>
        <w:numPr>
          <w:ilvl w:val="0"/>
          <w:numId w:val="6"/>
        </w:numPr>
        <w:spacing w:after="0"/>
        <w:rPr>
          <w:rFonts w:ascii="Arial" w:hAnsi="Arial" w:cs="Arial"/>
          <w:sz w:val="20"/>
          <w:szCs w:val="20"/>
        </w:rPr>
      </w:pPr>
      <w:r w:rsidRPr="001620CE">
        <w:rPr>
          <w:rFonts w:ascii="Arial" w:hAnsi="Arial" w:cs="Arial"/>
          <w:sz w:val="20"/>
          <w:szCs w:val="20"/>
        </w:rPr>
        <w:t>33% League One</w:t>
      </w:r>
    </w:p>
    <w:p w14:paraId="3D7003AD" w14:textId="2ED4847B" w:rsidR="00A64988" w:rsidRPr="001620CE" w:rsidRDefault="00891957" w:rsidP="0098652A">
      <w:pPr>
        <w:pStyle w:val="ListParagraph"/>
        <w:numPr>
          <w:ilvl w:val="0"/>
          <w:numId w:val="6"/>
        </w:numPr>
        <w:spacing w:after="0"/>
        <w:rPr>
          <w:rFonts w:ascii="Arial" w:hAnsi="Arial" w:cs="Arial"/>
          <w:sz w:val="20"/>
          <w:szCs w:val="20"/>
        </w:rPr>
      </w:pPr>
      <w:r w:rsidRPr="001620CE">
        <w:rPr>
          <w:rFonts w:ascii="Arial" w:hAnsi="Arial" w:cs="Arial"/>
          <w:sz w:val="20"/>
          <w:szCs w:val="20"/>
        </w:rPr>
        <w:t>17% League Two</w:t>
      </w:r>
    </w:p>
    <w:p w14:paraId="4C120080" w14:textId="69A9FF6C" w:rsidR="001F5E5D" w:rsidRPr="001620CE" w:rsidRDefault="001F5E5D" w:rsidP="0098652A">
      <w:pPr>
        <w:spacing w:after="0"/>
        <w:rPr>
          <w:rFonts w:ascii="Arial" w:hAnsi="Arial" w:cs="Arial"/>
          <w:sz w:val="20"/>
          <w:szCs w:val="20"/>
        </w:rPr>
      </w:pPr>
    </w:p>
    <w:p w14:paraId="39B8B2AB" w14:textId="1BB64D09" w:rsidR="001F5E5D" w:rsidRPr="001620CE" w:rsidRDefault="00891957" w:rsidP="0098652A">
      <w:pPr>
        <w:spacing w:after="0"/>
        <w:rPr>
          <w:rFonts w:ascii="Arial" w:hAnsi="Arial" w:cs="Arial"/>
          <w:sz w:val="20"/>
          <w:szCs w:val="20"/>
        </w:rPr>
      </w:pPr>
      <w:r w:rsidRPr="001620CE">
        <w:rPr>
          <w:rFonts w:ascii="Arial" w:hAnsi="Arial" w:cs="Arial"/>
          <w:sz w:val="20"/>
          <w:szCs w:val="20"/>
        </w:rPr>
        <w:t xml:space="preserve">However, there are also issues around the </w:t>
      </w:r>
      <w:r w:rsidR="0045392F" w:rsidRPr="001620CE">
        <w:rPr>
          <w:rFonts w:ascii="Arial" w:hAnsi="Arial" w:cs="Arial"/>
          <w:sz w:val="20"/>
          <w:szCs w:val="20"/>
        </w:rPr>
        <w:t xml:space="preserve">cliff-edges between divisions and also funding to the National League and the Women’s Game. Financial experts from Liverpool University, Birkbeck University, Sheffield Hallam University, Northumbria University and the University of Portsmouth (including Kieran Maguire, Rob Wilson, Dan Plumley, Christina Philippou, Richard Evans and Mark Middling) have analysed in the depth and have settled on a new proposed divisional split of: </w:t>
      </w:r>
    </w:p>
    <w:p w14:paraId="3BB624FE" w14:textId="77777777" w:rsidR="00F87039" w:rsidRPr="001620CE" w:rsidRDefault="00F87039" w:rsidP="0098652A">
      <w:pPr>
        <w:spacing w:after="0"/>
        <w:rPr>
          <w:rFonts w:ascii="Arial" w:hAnsi="Arial" w:cs="Arial"/>
          <w:sz w:val="20"/>
          <w:szCs w:val="20"/>
        </w:rPr>
      </w:pPr>
    </w:p>
    <w:p w14:paraId="182DD2D7" w14:textId="77777777" w:rsidR="00977B4B" w:rsidRPr="001620CE" w:rsidRDefault="00977B4B" w:rsidP="0098652A">
      <w:pPr>
        <w:pStyle w:val="ListParagraph"/>
        <w:numPr>
          <w:ilvl w:val="0"/>
          <w:numId w:val="1"/>
        </w:numPr>
        <w:spacing w:after="0"/>
        <w:rPr>
          <w:rFonts w:ascii="Arial" w:hAnsi="Arial" w:cs="Arial"/>
          <w:sz w:val="20"/>
          <w:szCs w:val="20"/>
        </w:rPr>
      </w:pPr>
      <w:r w:rsidRPr="001620CE">
        <w:rPr>
          <w:rFonts w:ascii="Arial" w:hAnsi="Arial" w:cs="Arial"/>
          <w:sz w:val="20"/>
          <w:szCs w:val="20"/>
        </w:rPr>
        <w:t>46% Championship (24 teams)</w:t>
      </w:r>
    </w:p>
    <w:p w14:paraId="30FE32CF" w14:textId="77777777" w:rsidR="00977B4B" w:rsidRPr="001620CE" w:rsidRDefault="00977B4B" w:rsidP="0098652A">
      <w:pPr>
        <w:pStyle w:val="ListParagraph"/>
        <w:numPr>
          <w:ilvl w:val="0"/>
          <w:numId w:val="1"/>
        </w:numPr>
        <w:spacing w:after="0"/>
        <w:rPr>
          <w:rFonts w:ascii="Arial" w:hAnsi="Arial" w:cs="Arial"/>
          <w:sz w:val="20"/>
          <w:szCs w:val="20"/>
        </w:rPr>
      </w:pPr>
      <w:r w:rsidRPr="001620CE">
        <w:rPr>
          <w:rFonts w:ascii="Arial" w:hAnsi="Arial" w:cs="Arial"/>
          <w:sz w:val="20"/>
          <w:szCs w:val="20"/>
        </w:rPr>
        <w:t>24% League One (24 teams)</w:t>
      </w:r>
    </w:p>
    <w:p w14:paraId="22F00B97" w14:textId="0DA0FA21" w:rsidR="00977B4B" w:rsidRPr="001620CE" w:rsidRDefault="00977B4B" w:rsidP="0098652A">
      <w:pPr>
        <w:pStyle w:val="ListParagraph"/>
        <w:numPr>
          <w:ilvl w:val="0"/>
          <w:numId w:val="1"/>
        </w:numPr>
        <w:spacing w:after="0"/>
        <w:rPr>
          <w:rFonts w:ascii="Arial" w:hAnsi="Arial" w:cs="Arial"/>
          <w:sz w:val="20"/>
          <w:szCs w:val="20"/>
        </w:rPr>
      </w:pPr>
      <w:r w:rsidRPr="001620CE">
        <w:rPr>
          <w:rFonts w:ascii="Arial" w:hAnsi="Arial" w:cs="Arial"/>
          <w:sz w:val="20"/>
          <w:szCs w:val="20"/>
        </w:rPr>
        <w:t>1</w:t>
      </w:r>
      <w:r w:rsidR="000317DE">
        <w:rPr>
          <w:rFonts w:ascii="Arial" w:hAnsi="Arial" w:cs="Arial"/>
          <w:sz w:val="20"/>
          <w:szCs w:val="20"/>
        </w:rPr>
        <w:t>4</w:t>
      </w:r>
      <w:r w:rsidRPr="001620CE">
        <w:rPr>
          <w:rFonts w:ascii="Arial" w:hAnsi="Arial" w:cs="Arial"/>
          <w:sz w:val="20"/>
          <w:szCs w:val="20"/>
        </w:rPr>
        <w:t>% League Two (24 teams)</w:t>
      </w:r>
    </w:p>
    <w:p w14:paraId="6DF951E8" w14:textId="51419200" w:rsidR="00977B4B" w:rsidRPr="001620CE" w:rsidRDefault="000317DE" w:rsidP="0098652A">
      <w:pPr>
        <w:pStyle w:val="ListParagraph"/>
        <w:numPr>
          <w:ilvl w:val="0"/>
          <w:numId w:val="1"/>
        </w:numPr>
        <w:spacing w:after="0"/>
        <w:rPr>
          <w:rFonts w:ascii="Arial" w:hAnsi="Arial" w:cs="Arial"/>
          <w:sz w:val="20"/>
          <w:szCs w:val="20"/>
        </w:rPr>
      </w:pPr>
      <w:r>
        <w:rPr>
          <w:rFonts w:ascii="Arial" w:hAnsi="Arial" w:cs="Arial"/>
          <w:sz w:val="20"/>
          <w:szCs w:val="20"/>
        </w:rPr>
        <w:t>8</w:t>
      </w:r>
      <w:r w:rsidR="00977B4B" w:rsidRPr="001620CE">
        <w:rPr>
          <w:rFonts w:ascii="Arial" w:hAnsi="Arial" w:cs="Arial"/>
          <w:sz w:val="20"/>
          <w:szCs w:val="20"/>
        </w:rPr>
        <w:t>% National League (24 teams)</w:t>
      </w:r>
    </w:p>
    <w:p w14:paraId="10C81803" w14:textId="22522173" w:rsidR="00977B4B" w:rsidRPr="001620CE" w:rsidRDefault="000317DE" w:rsidP="0098652A">
      <w:pPr>
        <w:pStyle w:val="ListParagraph"/>
        <w:numPr>
          <w:ilvl w:val="0"/>
          <w:numId w:val="1"/>
        </w:numPr>
        <w:spacing w:after="0"/>
        <w:rPr>
          <w:rFonts w:ascii="Arial" w:hAnsi="Arial" w:cs="Arial"/>
          <w:sz w:val="20"/>
          <w:szCs w:val="20"/>
        </w:rPr>
      </w:pPr>
      <w:r>
        <w:rPr>
          <w:rFonts w:ascii="Arial" w:hAnsi="Arial" w:cs="Arial"/>
          <w:sz w:val="20"/>
          <w:szCs w:val="20"/>
        </w:rPr>
        <w:t>4</w:t>
      </w:r>
      <w:r w:rsidR="00977B4B" w:rsidRPr="001620CE">
        <w:rPr>
          <w:rFonts w:ascii="Arial" w:hAnsi="Arial" w:cs="Arial"/>
          <w:sz w:val="20"/>
          <w:szCs w:val="20"/>
        </w:rPr>
        <w:t>% National League North (22 teams)</w:t>
      </w:r>
    </w:p>
    <w:p w14:paraId="674DDFC3" w14:textId="2945C70C" w:rsidR="00977B4B" w:rsidRPr="001620CE" w:rsidRDefault="000317DE" w:rsidP="0098652A">
      <w:pPr>
        <w:pStyle w:val="ListParagraph"/>
        <w:numPr>
          <w:ilvl w:val="0"/>
          <w:numId w:val="1"/>
        </w:numPr>
        <w:spacing w:after="0"/>
        <w:rPr>
          <w:rFonts w:ascii="Arial" w:hAnsi="Arial" w:cs="Arial"/>
          <w:sz w:val="20"/>
          <w:szCs w:val="20"/>
        </w:rPr>
      </w:pPr>
      <w:r>
        <w:rPr>
          <w:rFonts w:ascii="Arial" w:hAnsi="Arial" w:cs="Arial"/>
          <w:sz w:val="20"/>
          <w:szCs w:val="20"/>
        </w:rPr>
        <w:t>4</w:t>
      </w:r>
      <w:r w:rsidR="00977B4B" w:rsidRPr="001620CE">
        <w:rPr>
          <w:rFonts w:ascii="Arial" w:hAnsi="Arial" w:cs="Arial"/>
          <w:sz w:val="20"/>
          <w:szCs w:val="20"/>
        </w:rPr>
        <w:t>% National League South (22 teams)</w:t>
      </w:r>
    </w:p>
    <w:p w14:paraId="1F626DB9" w14:textId="77777777" w:rsidR="00FB6FD1" w:rsidRPr="001620CE" w:rsidRDefault="00FB6FD1" w:rsidP="0098652A">
      <w:pPr>
        <w:spacing w:after="0"/>
        <w:rPr>
          <w:rFonts w:ascii="Arial" w:hAnsi="Arial" w:cs="Arial"/>
          <w:sz w:val="20"/>
          <w:szCs w:val="20"/>
        </w:rPr>
      </w:pPr>
    </w:p>
    <w:p w14:paraId="0BE5B170" w14:textId="3F9A5958" w:rsidR="00891957" w:rsidRPr="001620CE" w:rsidRDefault="00DF68FF" w:rsidP="0098652A">
      <w:pPr>
        <w:spacing w:after="0"/>
        <w:rPr>
          <w:rFonts w:ascii="Arial" w:hAnsi="Arial" w:cs="Arial"/>
          <w:sz w:val="20"/>
          <w:szCs w:val="20"/>
        </w:rPr>
      </w:pPr>
      <w:r w:rsidRPr="001620CE">
        <w:rPr>
          <w:rFonts w:ascii="Arial" w:hAnsi="Arial" w:cs="Arial"/>
          <w:sz w:val="20"/>
          <w:szCs w:val="20"/>
        </w:rPr>
        <w:t xml:space="preserve">Currently </w:t>
      </w:r>
      <w:r w:rsidR="00D52D7E" w:rsidRPr="001620CE">
        <w:rPr>
          <w:rFonts w:ascii="Arial" w:hAnsi="Arial" w:cs="Arial"/>
          <w:sz w:val="20"/>
          <w:szCs w:val="20"/>
        </w:rPr>
        <w:t xml:space="preserve">of the £585m, around 16% goes to the EFL. </w:t>
      </w:r>
      <w:r w:rsidR="00891957" w:rsidRPr="001620CE">
        <w:rPr>
          <w:rFonts w:ascii="Arial" w:hAnsi="Arial" w:cs="Arial"/>
          <w:sz w:val="20"/>
          <w:szCs w:val="20"/>
        </w:rPr>
        <w:t>Of that 16%</w:t>
      </w:r>
      <w:r w:rsidR="002C73A6" w:rsidRPr="001620CE">
        <w:rPr>
          <w:rFonts w:ascii="Arial" w:hAnsi="Arial" w:cs="Arial"/>
          <w:sz w:val="20"/>
          <w:szCs w:val="20"/>
        </w:rPr>
        <w:t xml:space="preserve"> approximately</w:t>
      </w:r>
      <w:r w:rsidR="00891957" w:rsidRPr="001620CE">
        <w:rPr>
          <w:rFonts w:ascii="Arial" w:hAnsi="Arial" w:cs="Arial"/>
          <w:sz w:val="20"/>
          <w:szCs w:val="20"/>
        </w:rPr>
        <w:t>:</w:t>
      </w:r>
    </w:p>
    <w:p w14:paraId="506F73D5" w14:textId="3F98CDAD" w:rsidR="00891957" w:rsidRPr="001620CE" w:rsidRDefault="00891957" w:rsidP="0098652A">
      <w:pPr>
        <w:pStyle w:val="ListParagraph"/>
        <w:numPr>
          <w:ilvl w:val="0"/>
          <w:numId w:val="7"/>
        </w:numPr>
        <w:spacing w:after="0"/>
        <w:rPr>
          <w:rFonts w:ascii="Arial" w:hAnsi="Arial" w:cs="Arial"/>
          <w:sz w:val="20"/>
          <w:szCs w:val="20"/>
        </w:rPr>
      </w:pPr>
      <w:r w:rsidRPr="001620CE">
        <w:rPr>
          <w:rFonts w:ascii="Arial" w:hAnsi="Arial" w:cs="Arial"/>
          <w:sz w:val="20"/>
          <w:szCs w:val="20"/>
        </w:rPr>
        <w:t>11.5% goes on Parachute Payments</w:t>
      </w:r>
    </w:p>
    <w:p w14:paraId="5EBB96EE" w14:textId="6A4A6819" w:rsidR="00891957" w:rsidRPr="001620CE" w:rsidRDefault="00891957" w:rsidP="0098652A">
      <w:pPr>
        <w:pStyle w:val="ListParagraph"/>
        <w:numPr>
          <w:ilvl w:val="0"/>
          <w:numId w:val="7"/>
        </w:numPr>
        <w:spacing w:after="0"/>
        <w:rPr>
          <w:rFonts w:ascii="Arial" w:hAnsi="Arial" w:cs="Arial"/>
          <w:sz w:val="20"/>
          <w:szCs w:val="20"/>
        </w:rPr>
      </w:pPr>
      <w:r w:rsidRPr="001620CE">
        <w:rPr>
          <w:rFonts w:ascii="Arial" w:hAnsi="Arial" w:cs="Arial"/>
          <w:sz w:val="20"/>
          <w:szCs w:val="20"/>
        </w:rPr>
        <w:t>3.2% goes to Championship clubs not in receipt of parachute payments</w:t>
      </w:r>
    </w:p>
    <w:p w14:paraId="5D9A1F85" w14:textId="7606F9B0" w:rsidR="00891957" w:rsidRPr="001620CE" w:rsidRDefault="00891957" w:rsidP="0098652A">
      <w:pPr>
        <w:pStyle w:val="ListParagraph"/>
        <w:numPr>
          <w:ilvl w:val="0"/>
          <w:numId w:val="7"/>
        </w:numPr>
        <w:spacing w:after="0"/>
        <w:rPr>
          <w:rFonts w:ascii="Arial" w:hAnsi="Arial" w:cs="Arial"/>
          <w:sz w:val="20"/>
          <w:szCs w:val="20"/>
        </w:rPr>
      </w:pPr>
      <w:r w:rsidRPr="001620CE">
        <w:rPr>
          <w:rFonts w:ascii="Arial" w:hAnsi="Arial" w:cs="Arial"/>
          <w:sz w:val="20"/>
          <w:szCs w:val="20"/>
        </w:rPr>
        <w:t>0.7% goes to League One clubs</w:t>
      </w:r>
    </w:p>
    <w:p w14:paraId="3BD1E827" w14:textId="03B49E43" w:rsidR="00891957" w:rsidRPr="001620CE" w:rsidRDefault="00891957" w:rsidP="0098652A">
      <w:pPr>
        <w:pStyle w:val="ListParagraph"/>
        <w:numPr>
          <w:ilvl w:val="0"/>
          <w:numId w:val="7"/>
        </w:numPr>
        <w:spacing w:after="0"/>
        <w:rPr>
          <w:rFonts w:ascii="Arial" w:hAnsi="Arial" w:cs="Arial"/>
          <w:sz w:val="20"/>
          <w:szCs w:val="20"/>
        </w:rPr>
      </w:pPr>
      <w:r w:rsidRPr="001620CE">
        <w:rPr>
          <w:rFonts w:ascii="Arial" w:hAnsi="Arial" w:cs="Arial"/>
          <w:sz w:val="20"/>
          <w:szCs w:val="20"/>
        </w:rPr>
        <w:t>0.5% goes to League Two</w:t>
      </w:r>
    </w:p>
    <w:p w14:paraId="4F4BCFD3" w14:textId="3592A624" w:rsidR="00D479A5" w:rsidRPr="001620CE" w:rsidRDefault="00D479A5" w:rsidP="0098652A">
      <w:pPr>
        <w:spacing w:after="0"/>
        <w:rPr>
          <w:rFonts w:ascii="Arial" w:hAnsi="Arial" w:cs="Arial"/>
          <w:sz w:val="20"/>
          <w:szCs w:val="20"/>
        </w:rPr>
      </w:pPr>
    </w:p>
    <w:p w14:paraId="356C39C8" w14:textId="00D05715" w:rsidR="009F6B56" w:rsidRPr="001620CE" w:rsidRDefault="009F6B56" w:rsidP="0098652A">
      <w:pPr>
        <w:spacing w:after="0"/>
        <w:rPr>
          <w:rFonts w:ascii="Arial" w:hAnsi="Arial" w:cs="Arial"/>
          <w:b/>
          <w:bCs/>
          <w:sz w:val="20"/>
          <w:szCs w:val="20"/>
          <w:u w:val="single"/>
        </w:rPr>
      </w:pPr>
      <w:r w:rsidRPr="001620CE">
        <w:rPr>
          <w:rFonts w:ascii="Arial" w:hAnsi="Arial" w:cs="Arial"/>
          <w:b/>
          <w:bCs/>
          <w:sz w:val="20"/>
          <w:szCs w:val="20"/>
          <w:u w:val="single"/>
        </w:rPr>
        <w:t>The consequences of backing Fair Game’s financial proposals</w:t>
      </w:r>
    </w:p>
    <w:p w14:paraId="53A9736E" w14:textId="77777777" w:rsidR="0098652A" w:rsidRPr="001620CE" w:rsidRDefault="0098652A" w:rsidP="0098652A">
      <w:pPr>
        <w:spacing w:after="0"/>
        <w:rPr>
          <w:rFonts w:ascii="Arial" w:hAnsi="Arial" w:cs="Arial"/>
          <w:b/>
          <w:bCs/>
          <w:sz w:val="20"/>
          <w:szCs w:val="20"/>
          <w:u w:val="single"/>
        </w:rPr>
      </w:pPr>
    </w:p>
    <w:tbl>
      <w:tblPr>
        <w:tblStyle w:val="TableGrid"/>
        <w:tblW w:w="0" w:type="auto"/>
        <w:tblLook w:val="04A0" w:firstRow="1" w:lastRow="0" w:firstColumn="1" w:lastColumn="0" w:noHBand="0" w:noVBand="1"/>
      </w:tblPr>
      <w:tblGrid>
        <w:gridCol w:w="1605"/>
        <w:gridCol w:w="1552"/>
        <w:gridCol w:w="1702"/>
        <w:gridCol w:w="1472"/>
        <w:gridCol w:w="1346"/>
        <w:gridCol w:w="1339"/>
      </w:tblGrid>
      <w:tr w:rsidR="00A142D1" w:rsidRPr="001620CE" w14:paraId="29E0937E" w14:textId="77777777" w:rsidTr="00A63B1B">
        <w:tc>
          <w:tcPr>
            <w:tcW w:w="1548" w:type="dxa"/>
            <w:shd w:val="clear" w:color="auto" w:fill="F7CAAC" w:themeFill="accent2" w:themeFillTint="66"/>
          </w:tcPr>
          <w:p w14:paraId="52838917" w14:textId="1A72F8FF" w:rsidR="00A142D1" w:rsidRPr="001620CE" w:rsidRDefault="00A142D1" w:rsidP="0098652A">
            <w:pPr>
              <w:rPr>
                <w:rFonts w:ascii="Arial" w:hAnsi="Arial" w:cs="Arial"/>
                <w:b/>
                <w:bCs/>
                <w:sz w:val="20"/>
                <w:szCs w:val="20"/>
              </w:rPr>
            </w:pPr>
            <w:r w:rsidRPr="001620CE">
              <w:rPr>
                <w:rFonts w:ascii="Arial" w:hAnsi="Arial" w:cs="Arial"/>
                <w:b/>
                <w:bCs/>
                <w:sz w:val="20"/>
                <w:szCs w:val="20"/>
              </w:rPr>
              <w:t>Division</w:t>
            </w:r>
            <w:r w:rsidR="00CF4004" w:rsidRPr="001620CE">
              <w:rPr>
                <w:rFonts w:ascii="Arial" w:hAnsi="Arial" w:cs="Arial"/>
                <w:b/>
                <w:bCs/>
                <w:sz w:val="20"/>
                <w:szCs w:val="20"/>
              </w:rPr>
              <w:t xml:space="preserve"> (parachute clubs excluded)</w:t>
            </w:r>
          </w:p>
        </w:tc>
        <w:tc>
          <w:tcPr>
            <w:tcW w:w="1574" w:type="dxa"/>
            <w:shd w:val="clear" w:color="auto" w:fill="DBDBDB" w:themeFill="accent3" w:themeFillTint="66"/>
          </w:tcPr>
          <w:p w14:paraId="1B2F0CC7" w14:textId="3590930C" w:rsidR="00A142D1" w:rsidRPr="001620CE" w:rsidRDefault="00C330D0" w:rsidP="0098652A">
            <w:pPr>
              <w:rPr>
                <w:rFonts w:ascii="Arial" w:hAnsi="Arial" w:cs="Arial"/>
                <w:b/>
                <w:bCs/>
                <w:sz w:val="20"/>
                <w:szCs w:val="20"/>
              </w:rPr>
            </w:pPr>
            <w:r w:rsidRPr="001620CE">
              <w:rPr>
                <w:rFonts w:ascii="Arial" w:hAnsi="Arial" w:cs="Arial"/>
                <w:b/>
                <w:bCs/>
                <w:sz w:val="20"/>
                <w:szCs w:val="20"/>
              </w:rPr>
              <w:t>2021/22</w:t>
            </w:r>
            <w:r w:rsidR="00A142D1" w:rsidRPr="001620CE">
              <w:rPr>
                <w:rFonts w:ascii="Arial" w:hAnsi="Arial" w:cs="Arial"/>
                <w:b/>
                <w:bCs/>
                <w:sz w:val="20"/>
                <w:szCs w:val="20"/>
              </w:rPr>
              <w:t xml:space="preserve"> payment</w:t>
            </w:r>
          </w:p>
        </w:tc>
        <w:tc>
          <w:tcPr>
            <w:tcW w:w="1711" w:type="dxa"/>
            <w:shd w:val="clear" w:color="auto" w:fill="FFE599" w:themeFill="accent4" w:themeFillTint="66"/>
          </w:tcPr>
          <w:p w14:paraId="7709E477" w14:textId="79180CD6" w:rsidR="00A142D1" w:rsidRPr="001620CE" w:rsidRDefault="00A142D1" w:rsidP="0098652A">
            <w:pPr>
              <w:rPr>
                <w:rFonts w:ascii="Arial" w:hAnsi="Arial" w:cs="Arial"/>
                <w:b/>
                <w:bCs/>
                <w:sz w:val="20"/>
                <w:szCs w:val="20"/>
              </w:rPr>
            </w:pPr>
            <w:r w:rsidRPr="001620CE">
              <w:rPr>
                <w:rFonts w:ascii="Arial" w:hAnsi="Arial" w:cs="Arial"/>
                <w:b/>
                <w:bCs/>
                <w:sz w:val="20"/>
                <w:szCs w:val="20"/>
              </w:rPr>
              <w:t>Redistribution on existing pot</w:t>
            </w:r>
          </w:p>
        </w:tc>
        <w:tc>
          <w:tcPr>
            <w:tcW w:w="1489" w:type="dxa"/>
            <w:shd w:val="clear" w:color="auto" w:fill="FFE599" w:themeFill="accent4" w:themeFillTint="66"/>
          </w:tcPr>
          <w:p w14:paraId="518E8F95" w14:textId="18CC6ACD" w:rsidR="00A142D1" w:rsidRPr="001620CE" w:rsidRDefault="00A142D1" w:rsidP="0098652A">
            <w:pPr>
              <w:rPr>
                <w:rFonts w:ascii="Arial" w:hAnsi="Arial" w:cs="Arial"/>
                <w:b/>
                <w:bCs/>
                <w:sz w:val="20"/>
                <w:szCs w:val="20"/>
              </w:rPr>
            </w:pPr>
            <w:r w:rsidRPr="001620CE">
              <w:rPr>
                <w:rFonts w:ascii="Arial" w:hAnsi="Arial" w:cs="Arial"/>
                <w:b/>
                <w:bCs/>
                <w:sz w:val="20"/>
                <w:szCs w:val="20"/>
              </w:rPr>
              <w:t>Uplift</w:t>
            </w:r>
          </w:p>
        </w:tc>
        <w:tc>
          <w:tcPr>
            <w:tcW w:w="1347" w:type="dxa"/>
            <w:shd w:val="clear" w:color="auto" w:fill="C5E0B3" w:themeFill="accent6" w:themeFillTint="66"/>
          </w:tcPr>
          <w:p w14:paraId="6A686DF3" w14:textId="1C2B0343" w:rsidR="00A142D1" w:rsidRPr="001620CE" w:rsidRDefault="00A142D1" w:rsidP="0098652A">
            <w:pPr>
              <w:rPr>
                <w:rFonts w:ascii="Arial" w:hAnsi="Arial" w:cs="Arial"/>
                <w:b/>
                <w:bCs/>
                <w:sz w:val="20"/>
                <w:szCs w:val="20"/>
              </w:rPr>
            </w:pPr>
            <w:r w:rsidRPr="001620CE">
              <w:rPr>
                <w:rFonts w:ascii="Arial" w:hAnsi="Arial" w:cs="Arial"/>
                <w:b/>
                <w:bCs/>
                <w:sz w:val="20"/>
                <w:szCs w:val="20"/>
              </w:rPr>
              <w:t>Distribution on full Fair Game proposal</w:t>
            </w:r>
          </w:p>
        </w:tc>
        <w:tc>
          <w:tcPr>
            <w:tcW w:w="1347" w:type="dxa"/>
            <w:shd w:val="clear" w:color="auto" w:fill="C5E0B3" w:themeFill="accent6" w:themeFillTint="66"/>
          </w:tcPr>
          <w:p w14:paraId="652725C3" w14:textId="4B1522BA" w:rsidR="00A142D1" w:rsidRPr="001620CE" w:rsidRDefault="00CF4004" w:rsidP="0098652A">
            <w:pPr>
              <w:rPr>
                <w:rFonts w:ascii="Arial" w:hAnsi="Arial" w:cs="Arial"/>
                <w:b/>
                <w:bCs/>
                <w:sz w:val="20"/>
                <w:szCs w:val="20"/>
              </w:rPr>
            </w:pPr>
            <w:r w:rsidRPr="001620CE">
              <w:rPr>
                <w:rFonts w:ascii="Arial" w:hAnsi="Arial" w:cs="Arial"/>
                <w:b/>
                <w:bCs/>
                <w:sz w:val="20"/>
                <w:szCs w:val="20"/>
              </w:rPr>
              <w:t>Uplift</w:t>
            </w:r>
          </w:p>
        </w:tc>
      </w:tr>
      <w:tr w:rsidR="00A142D1" w:rsidRPr="001620CE" w14:paraId="32F850EA" w14:textId="77777777" w:rsidTr="00A63B1B">
        <w:tc>
          <w:tcPr>
            <w:tcW w:w="1548" w:type="dxa"/>
            <w:shd w:val="clear" w:color="auto" w:fill="F7CAAC" w:themeFill="accent2" w:themeFillTint="66"/>
          </w:tcPr>
          <w:p w14:paraId="27870099" w14:textId="1AF50F93" w:rsidR="00A142D1" w:rsidRPr="001620CE" w:rsidRDefault="00CF4004" w:rsidP="0098652A">
            <w:pPr>
              <w:rPr>
                <w:rFonts w:ascii="Arial" w:hAnsi="Arial" w:cs="Arial"/>
                <w:b/>
                <w:bCs/>
                <w:sz w:val="20"/>
                <w:szCs w:val="20"/>
              </w:rPr>
            </w:pPr>
            <w:r w:rsidRPr="001620CE">
              <w:rPr>
                <w:rFonts w:ascii="Arial" w:hAnsi="Arial" w:cs="Arial"/>
                <w:b/>
                <w:bCs/>
                <w:sz w:val="20"/>
                <w:szCs w:val="20"/>
              </w:rPr>
              <w:t>Championship</w:t>
            </w:r>
          </w:p>
        </w:tc>
        <w:tc>
          <w:tcPr>
            <w:tcW w:w="1574" w:type="dxa"/>
            <w:shd w:val="clear" w:color="auto" w:fill="DBDBDB" w:themeFill="accent3" w:themeFillTint="66"/>
          </w:tcPr>
          <w:p w14:paraId="012EAD6D" w14:textId="3A515166" w:rsidR="00A142D1" w:rsidRPr="001620CE" w:rsidRDefault="00431B63" w:rsidP="0098652A">
            <w:pPr>
              <w:rPr>
                <w:rFonts w:ascii="Arial" w:hAnsi="Arial" w:cs="Arial"/>
                <w:sz w:val="20"/>
                <w:szCs w:val="20"/>
              </w:rPr>
            </w:pPr>
            <w:r w:rsidRPr="001620CE">
              <w:rPr>
                <w:rFonts w:ascii="Arial" w:hAnsi="Arial" w:cs="Arial"/>
                <w:sz w:val="20"/>
                <w:szCs w:val="20"/>
              </w:rPr>
              <w:t>£4,800,000</w:t>
            </w:r>
          </w:p>
        </w:tc>
        <w:tc>
          <w:tcPr>
            <w:tcW w:w="1711" w:type="dxa"/>
            <w:shd w:val="clear" w:color="auto" w:fill="FFE599" w:themeFill="accent4" w:themeFillTint="66"/>
          </w:tcPr>
          <w:p w14:paraId="76BFD8C7" w14:textId="0A475152" w:rsidR="00A142D1" w:rsidRPr="001620CE" w:rsidRDefault="000761D6" w:rsidP="0098652A">
            <w:pPr>
              <w:rPr>
                <w:rFonts w:ascii="Arial" w:hAnsi="Arial" w:cs="Arial"/>
                <w:sz w:val="20"/>
                <w:szCs w:val="20"/>
              </w:rPr>
            </w:pPr>
            <w:r w:rsidRPr="001620CE">
              <w:rPr>
                <w:rFonts w:ascii="Arial" w:hAnsi="Arial" w:cs="Arial"/>
                <w:sz w:val="20"/>
                <w:szCs w:val="20"/>
              </w:rPr>
              <w:t>£10,091,000</w:t>
            </w:r>
          </w:p>
        </w:tc>
        <w:tc>
          <w:tcPr>
            <w:tcW w:w="1489" w:type="dxa"/>
            <w:shd w:val="clear" w:color="auto" w:fill="FFE599" w:themeFill="accent4" w:themeFillTint="66"/>
          </w:tcPr>
          <w:p w14:paraId="38EC549D" w14:textId="3C5B973B" w:rsidR="00A142D1" w:rsidRPr="001620CE" w:rsidRDefault="0007687D" w:rsidP="0098652A">
            <w:pPr>
              <w:rPr>
                <w:rFonts w:ascii="Arial" w:hAnsi="Arial" w:cs="Arial"/>
                <w:b/>
                <w:bCs/>
                <w:sz w:val="20"/>
                <w:szCs w:val="20"/>
              </w:rPr>
            </w:pPr>
            <w:r w:rsidRPr="001620CE">
              <w:rPr>
                <w:rFonts w:ascii="Arial" w:hAnsi="Arial" w:cs="Arial"/>
                <w:b/>
                <w:bCs/>
                <w:sz w:val="20"/>
                <w:szCs w:val="20"/>
              </w:rPr>
              <w:t>£5,290,000</w:t>
            </w:r>
          </w:p>
        </w:tc>
        <w:tc>
          <w:tcPr>
            <w:tcW w:w="1347" w:type="dxa"/>
            <w:shd w:val="clear" w:color="auto" w:fill="C5E0B3" w:themeFill="accent6" w:themeFillTint="66"/>
          </w:tcPr>
          <w:p w14:paraId="238C1737" w14:textId="09AA1D25" w:rsidR="00A142D1" w:rsidRPr="001620CE" w:rsidRDefault="00D80392" w:rsidP="0098652A">
            <w:pPr>
              <w:rPr>
                <w:rFonts w:ascii="Arial" w:hAnsi="Arial" w:cs="Arial"/>
                <w:sz w:val="20"/>
                <w:szCs w:val="20"/>
              </w:rPr>
            </w:pPr>
            <w:r w:rsidRPr="001620CE">
              <w:rPr>
                <w:rFonts w:ascii="Arial" w:hAnsi="Arial" w:cs="Arial"/>
                <w:sz w:val="20"/>
                <w:szCs w:val="20"/>
              </w:rPr>
              <w:t>£12,851,</w:t>
            </w:r>
            <w:r w:rsidR="00ED7312" w:rsidRPr="001620CE">
              <w:rPr>
                <w:rFonts w:ascii="Arial" w:hAnsi="Arial" w:cs="Arial"/>
                <w:sz w:val="20"/>
                <w:szCs w:val="20"/>
              </w:rPr>
              <w:t>25</w:t>
            </w:r>
            <w:r w:rsidRPr="001620CE">
              <w:rPr>
                <w:rFonts w:ascii="Arial" w:hAnsi="Arial" w:cs="Arial"/>
                <w:sz w:val="20"/>
                <w:szCs w:val="20"/>
              </w:rPr>
              <w:t>0</w:t>
            </w:r>
          </w:p>
        </w:tc>
        <w:tc>
          <w:tcPr>
            <w:tcW w:w="1347" w:type="dxa"/>
            <w:shd w:val="clear" w:color="auto" w:fill="C5E0B3" w:themeFill="accent6" w:themeFillTint="66"/>
          </w:tcPr>
          <w:p w14:paraId="5D76D5E3" w14:textId="2AB7375A" w:rsidR="00A142D1" w:rsidRPr="001620CE" w:rsidRDefault="00D80392" w:rsidP="0098652A">
            <w:pPr>
              <w:rPr>
                <w:rFonts w:ascii="Arial" w:hAnsi="Arial" w:cs="Arial"/>
                <w:b/>
                <w:bCs/>
                <w:sz w:val="20"/>
                <w:szCs w:val="20"/>
              </w:rPr>
            </w:pPr>
            <w:r w:rsidRPr="001620CE">
              <w:rPr>
                <w:rFonts w:ascii="Arial" w:hAnsi="Arial" w:cs="Arial"/>
                <w:b/>
                <w:bCs/>
                <w:sz w:val="20"/>
                <w:szCs w:val="20"/>
              </w:rPr>
              <w:t>£</w:t>
            </w:r>
            <w:r w:rsidR="00966629" w:rsidRPr="001620CE">
              <w:rPr>
                <w:rFonts w:ascii="Arial" w:hAnsi="Arial" w:cs="Arial"/>
                <w:b/>
                <w:bCs/>
                <w:sz w:val="20"/>
                <w:szCs w:val="20"/>
              </w:rPr>
              <w:t>8</w:t>
            </w:r>
            <w:r w:rsidRPr="001620CE">
              <w:rPr>
                <w:rFonts w:ascii="Arial" w:hAnsi="Arial" w:cs="Arial"/>
                <w:b/>
                <w:bCs/>
                <w:sz w:val="20"/>
                <w:szCs w:val="20"/>
              </w:rPr>
              <w:t>,051</w:t>
            </w:r>
            <w:r w:rsidR="00966629" w:rsidRPr="001620CE">
              <w:rPr>
                <w:rFonts w:ascii="Arial" w:hAnsi="Arial" w:cs="Arial"/>
                <w:b/>
                <w:bCs/>
                <w:sz w:val="20"/>
                <w:szCs w:val="20"/>
              </w:rPr>
              <w:t>, 250</w:t>
            </w:r>
          </w:p>
        </w:tc>
      </w:tr>
      <w:tr w:rsidR="00A142D1" w:rsidRPr="001620CE" w14:paraId="6112FB29" w14:textId="77777777" w:rsidTr="00A63B1B">
        <w:tc>
          <w:tcPr>
            <w:tcW w:w="1548" w:type="dxa"/>
            <w:shd w:val="clear" w:color="auto" w:fill="F7CAAC" w:themeFill="accent2" w:themeFillTint="66"/>
          </w:tcPr>
          <w:p w14:paraId="7B44E69D" w14:textId="4F24E5D8" w:rsidR="00A142D1" w:rsidRPr="001620CE" w:rsidRDefault="00CF4004" w:rsidP="0098652A">
            <w:pPr>
              <w:rPr>
                <w:rFonts w:ascii="Arial" w:hAnsi="Arial" w:cs="Arial"/>
                <w:b/>
                <w:bCs/>
                <w:sz w:val="20"/>
                <w:szCs w:val="20"/>
              </w:rPr>
            </w:pPr>
            <w:r w:rsidRPr="001620CE">
              <w:rPr>
                <w:rFonts w:ascii="Arial" w:hAnsi="Arial" w:cs="Arial"/>
                <w:b/>
                <w:bCs/>
                <w:sz w:val="20"/>
                <w:szCs w:val="20"/>
              </w:rPr>
              <w:t>League One</w:t>
            </w:r>
          </w:p>
        </w:tc>
        <w:tc>
          <w:tcPr>
            <w:tcW w:w="1574" w:type="dxa"/>
            <w:shd w:val="clear" w:color="auto" w:fill="DBDBDB" w:themeFill="accent3" w:themeFillTint="66"/>
          </w:tcPr>
          <w:p w14:paraId="1D500B6D" w14:textId="3279B8D3" w:rsidR="00A142D1" w:rsidRPr="001620CE" w:rsidRDefault="00431B63" w:rsidP="0098652A">
            <w:pPr>
              <w:rPr>
                <w:rFonts w:ascii="Arial" w:hAnsi="Arial" w:cs="Arial"/>
                <w:sz w:val="20"/>
                <w:szCs w:val="20"/>
              </w:rPr>
            </w:pPr>
            <w:r w:rsidRPr="001620CE">
              <w:rPr>
                <w:rFonts w:ascii="Arial" w:hAnsi="Arial" w:cs="Arial"/>
                <w:sz w:val="20"/>
                <w:szCs w:val="20"/>
              </w:rPr>
              <w:t>£720,000</w:t>
            </w:r>
          </w:p>
        </w:tc>
        <w:tc>
          <w:tcPr>
            <w:tcW w:w="1711" w:type="dxa"/>
            <w:shd w:val="clear" w:color="auto" w:fill="FFE599" w:themeFill="accent4" w:themeFillTint="66"/>
          </w:tcPr>
          <w:p w14:paraId="22D307C7" w14:textId="5AAF5D2F" w:rsidR="00A142D1" w:rsidRPr="001620CE" w:rsidRDefault="003B39EA" w:rsidP="0098652A">
            <w:pPr>
              <w:rPr>
                <w:rFonts w:ascii="Arial" w:hAnsi="Arial" w:cs="Arial"/>
                <w:sz w:val="20"/>
                <w:szCs w:val="20"/>
              </w:rPr>
            </w:pPr>
            <w:r w:rsidRPr="001620CE">
              <w:rPr>
                <w:rFonts w:ascii="Arial" w:hAnsi="Arial" w:cs="Arial"/>
                <w:sz w:val="20"/>
                <w:szCs w:val="20"/>
              </w:rPr>
              <w:t>£5,265,000</w:t>
            </w:r>
          </w:p>
        </w:tc>
        <w:tc>
          <w:tcPr>
            <w:tcW w:w="1489" w:type="dxa"/>
            <w:shd w:val="clear" w:color="auto" w:fill="FFE599" w:themeFill="accent4" w:themeFillTint="66"/>
          </w:tcPr>
          <w:p w14:paraId="14DE1318" w14:textId="4F854AEF" w:rsidR="00A142D1" w:rsidRPr="001620CE" w:rsidRDefault="006811D2" w:rsidP="0098652A">
            <w:pPr>
              <w:rPr>
                <w:rFonts w:ascii="Arial" w:hAnsi="Arial" w:cs="Arial"/>
                <w:b/>
                <w:bCs/>
                <w:sz w:val="20"/>
                <w:szCs w:val="20"/>
              </w:rPr>
            </w:pPr>
            <w:r w:rsidRPr="001620CE">
              <w:rPr>
                <w:rFonts w:ascii="Arial" w:hAnsi="Arial" w:cs="Arial"/>
                <w:b/>
                <w:bCs/>
                <w:sz w:val="20"/>
                <w:szCs w:val="20"/>
              </w:rPr>
              <w:t>£4,545,000</w:t>
            </w:r>
          </w:p>
        </w:tc>
        <w:tc>
          <w:tcPr>
            <w:tcW w:w="1347" w:type="dxa"/>
            <w:shd w:val="clear" w:color="auto" w:fill="C5E0B3" w:themeFill="accent6" w:themeFillTint="66"/>
          </w:tcPr>
          <w:p w14:paraId="41D47CBA" w14:textId="367B5DAA" w:rsidR="00A142D1" w:rsidRPr="001620CE" w:rsidRDefault="00966629" w:rsidP="0098652A">
            <w:pPr>
              <w:rPr>
                <w:rFonts w:ascii="Arial" w:hAnsi="Arial" w:cs="Arial"/>
                <w:sz w:val="20"/>
                <w:szCs w:val="20"/>
              </w:rPr>
            </w:pPr>
            <w:r w:rsidRPr="001620CE">
              <w:rPr>
                <w:rFonts w:ascii="Arial" w:hAnsi="Arial" w:cs="Arial"/>
                <w:sz w:val="20"/>
                <w:szCs w:val="20"/>
              </w:rPr>
              <w:t>£6,705,000</w:t>
            </w:r>
          </w:p>
        </w:tc>
        <w:tc>
          <w:tcPr>
            <w:tcW w:w="1347" w:type="dxa"/>
            <w:shd w:val="clear" w:color="auto" w:fill="C5E0B3" w:themeFill="accent6" w:themeFillTint="66"/>
          </w:tcPr>
          <w:p w14:paraId="268F433B" w14:textId="5417A9E9" w:rsidR="00A142D1" w:rsidRPr="001620CE" w:rsidRDefault="007716FA" w:rsidP="0098652A">
            <w:pPr>
              <w:rPr>
                <w:rFonts w:ascii="Arial" w:hAnsi="Arial" w:cs="Arial"/>
                <w:b/>
                <w:bCs/>
                <w:sz w:val="20"/>
                <w:szCs w:val="20"/>
              </w:rPr>
            </w:pPr>
            <w:r w:rsidRPr="001620CE">
              <w:rPr>
                <w:rFonts w:ascii="Arial" w:hAnsi="Arial" w:cs="Arial"/>
                <w:b/>
                <w:bCs/>
                <w:sz w:val="20"/>
                <w:szCs w:val="20"/>
              </w:rPr>
              <w:t>£5,985,000</w:t>
            </w:r>
          </w:p>
        </w:tc>
      </w:tr>
      <w:tr w:rsidR="00A142D1" w:rsidRPr="001620CE" w14:paraId="0E965C0E" w14:textId="77777777" w:rsidTr="00A63B1B">
        <w:tc>
          <w:tcPr>
            <w:tcW w:w="1548" w:type="dxa"/>
            <w:shd w:val="clear" w:color="auto" w:fill="F7CAAC" w:themeFill="accent2" w:themeFillTint="66"/>
          </w:tcPr>
          <w:p w14:paraId="303A2DBC" w14:textId="02DA19A0" w:rsidR="00A142D1" w:rsidRPr="001620CE" w:rsidRDefault="00CF4004" w:rsidP="0098652A">
            <w:pPr>
              <w:rPr>
                <w:rFonts w:ascii="Arial" w:hAnsi="Arial" w:cs="Arial"/>
                <w:b/>
                <w:bCs/>
                <w:sz w:val="20"/>
                <w:szCs w:val="20"/>
              </w:rPr>
            </w:pPr>
            <w:r w:rsidRPr="001620CE">
              <w:rPr>
                <w:rFonts w:ascii="Arial" w:hAnsi="Arial" w:cs="Arial"/>
                <w:b/>
                <w:bCs/>
                <w:sz w:val="20"/>
                <w:szCs w:val="20"/>
              </w:rPr>
              <w:t>League Two</w:t>
            </w:r>
          </w:p>
        </w:tc>
        <w:tc>
          <w:tcPr>
            <w:tcW w:w="1574" w:type="dxa"/>
            <w:shd w:val="clear" w:color="auto" w:fill="DBDBDB" w:themeFill="accent3" w:themeFillTint="66"/>
          </w:tcPr>
          <w:p w14:paraId="42F956F8" w14:textId="043033AC" w:rsidR="00A142D1" w:rsidRPr="001620CE" w:rsidRDefault="00C330D0" w:rsidP="0098652A">
            <w:pPr>
              <w:rPr>
                <w:rFonts w:ascii="Arial" w:hAnsi="Arial" w:cs="Arial"/>
                <w:sz w:val="20"/>
                <w:szCs w:val="20"/>
              </w:rPr>
            </w:pPr>
            <w:r w:rsidRPr="001620CE">
              <w:rPr>
                <w:rFonts w:ascii="Arial" w:hAnsi="Arial" w:cs="Arial"/>
                <w:sz w:val="20"/>
                <w:szCs w:val="20"/>
              </w:rPr>
              <w:t>£480,000</w:t>
            </w:r>
          </w:p>
        </w:tc>
        <w:tc>
          <w:tcPr>
            <w:tcW w:w="1711" w:type="dxa"/>
            <w:shd w:val="clear" w:color="auto" w:fill="FFE599" w:themeFill="accent4" w:themeFillTint="66"/>
          </w:tcPr>
          <w:p w14:paraId="728A417B" w14:textId="0A4B286D" w:rsidR="00A142D1" w:rsidRPr="001620CE" w:rsidRDefault="006811D2" w:rsidP="0098652A">
            <w:pPr>
              <w:rPr>
                <w:rFonts w:ascii="Arial" w:hAnsi="Arial" w:cs="Arial"/>
                <w:sz w:val="20"/>
                <w:szCs w:val="20"/>
              </w:rPr>
            </w:pPr>
            <w:r w:rsidRPr="001620CE">
              <w:rPr>
                <w:rFonts w:ascii="Arial" w:hAnsi="Arial" w:cs="Arial"/>
                <w:sz w:val="20"/>
                <w:szCs w:val="20"/>
              </w:rPr>
              <w:t>£2,852,000</w:t>
            </w:r>
          </w:p>
        </w:tc>
        <w:tc>
          <w:tcPr>
            <w:tcW w:w="1489" w:type="dxa"/>
            <w:shd w:val="clear" w:color="auto" w:fill="FFE599" w:themeFill="accent4" w:themeFillTint="66"/>
          </w:tcPr>
          <w:p w14:paraId="3CFF0046" w14:textId="5FC859E9" w:rsidR="00A142D1" w:rsidRPr="001620CE" w:rsidRDefault="00B512DD" w:rsidP="0098652A">
            <w:pPr>
              <w:rPr>
                <w:rFonts w:ascii="Arial" w:hAnsi="Arial" w:cs="Arial"/>
                <w:b/>
                <w:bCs/>
                <w:sz w:val="20"/>
                <w:szCs w:val="20"/>
              </w:rPr>
            </w:pPr>
            <w:r w:rsidRPr="001620CE">
              <w:rPr>
                <w:rFonts w:ascii="Arial" w:hAnsi="Arial" w:cs="Arial"/>
                <w:b/>
                <w:bCs/>
                <w:sz w:val="20"/>
                <w:szCs w:val="20"/>
              </w:rPr>
              <w:t>£2,372,000</w:t>
            </w:r>
          </w:p>
        </w:tc>
        <w:tc>
          <w:tcPr>
            <w:tcW w:w="1347" w:type="dxa"/>
            <w:shd w:val="clear" w:color="auto" w:fill="C5E0B3" w:themeFill="accent6" w:themeFillTint="66"/>
          </w:tcPr>
          <w:p w14:paraId="699C2B8D" w14:textId="0B8B9EE6" w:rsidR="00A142D1" w:rsidRPr="001620CE" w:rsidRDefault="007716FA" w:rsidP="0098652A">
            <w:pPr>
              <w:rPr>
                <w:rFonts w:ascii="Arial" w:hAnsi="Arial" w:cs="Arial"/>
                <w:sz w:val="20"/>
                <w:szCs w:val="20"/>
              </w:rPr>
            </w:pPr>
            <w:r w:rsidRPr="001620CE">
              <w:rPr>
                <w:rFonts w:ascii="Arial" w:hAnsi="Arial" w:cs="Arial"/>
                <w:sz w:val="20"/>
                <w:szCs w:val="20"/>
              </w:rPr>
              <w:t>£3,631,875</w:t>
            </w:r>
          </w:p>
        </w:tc>
        <w:tc>
          <w:tcPr>
            <w:tcW w:w="1347" w:type="dxa"/>
            <w:shd w:val="clear" w:color="auto" w:fill="C5E0B3" w:themeFill="accent6" w:themeFillTint="66"/>
          </w:tcPr>
          <w:p w14:paraId="1DBA492F" w14:textId="3F3A478C" w:rsidR="00A142D1" w:rsidRPr="001620CE" w:rsidRDefault="002C73A6" w:rsidP="0098652A">
            <w:pPr>
              <w:rPr>
                <w:rFonts w:ascii="Arial" w:hAnsi="Arial" w:cs="Arial"/>
                <w:b/>
                <w:bCs/>
                <w:sz w:val="20"/>
                <w:szCs w:val="20"/>
              </w:rPr>
            </w:pPr>
            <w:r w:rsidRPr="001620CE">
              <w:rPr>
                <w:rFonts w:ascii="Arial" w:hAnsi="Arial" w:cs="Arial"/>
                <w:b/>
                <w:bCs/>
                <w:sz w:val="20"/>
                <w:szCs w:val="20"/>
              </w:rPr>
              <w:t>£3,151,875</w:t>
            </w:r>
          </w:p>
        </w:tc>
      </w:tr>
    </w:tbl>
    <w:p w14:paraId="3DE8E409" w14:textId="2A80F7AD" w:rsidR="00D479A5" w:rsidRPr="001620CE" w:rsidRDefault="00D479A5" w:rsidP="0098652A">
      <w:pPr>
        <w:spacing w:after="0"/>
        <w:rPr>
          <w:rFonts w:ascii="Arial" w:hAnsi="Arial" w:cs="Arial"/>
          <w:sz w:val="20"/>
          <w:szCs w:val="20"/>
        </w:rPr>
      </w:pPr>
    </w:p>
    <w:p w14:paraId="30AA697C" w14:textId="7571EE62" w:rsidR="00D479A5" w:rsidRPr="001620CE" w:rsidRDefault="00FB6FD1" w:rsidP="0098652A">
      <w:pPr>
        <w:spacing w:after="0"/>
        <w:rPr>
          <w:rFonts w:ascii="Arial" w:hAnsi="Arial" w:cs="Arial"/>
          <w:i/>
          <w:iCs/>
          <w:sz w:val="20"/>
          <w:szCs w:val="20"/>
        </w:rPr>
      </w:pPr>
      <w:r w:rsidRPr="001620CE">
        <w:rPr>
          <w:rFonts w:ascii="Arial" w:hAnsi="Arial" w:cs="Arial"/>
          <w:b/>
          <w:bCs/>
          <w:i/>
          <w:iCs/>
          <w:sz w:val="20"/>
          <w:szCs w:val="20"/>
        </w:rPr>
        <w:t>Note:</w:t>
      </w:r>
      <w:r w:rsidRPr="001620CE">
        <w:rPr>
          <w:rFonts w:ascii="Arial" w:hAnsi="Arial" w:cs="Arial"/>
          <w:i/>
          <w:iCs/>
          <w:sz w:val="20"/>
          <w:szCs w:val="20"/>
        </w:rPr>
        <w:t xml:space="preserve"> The figures above </w:t>
      </w:r>
      <w:r w:rsidR="00695E37" w:rsidRPr="001620CE">
        <w:rPr>
          <w:rFonts w:ascii="Arial" w:hAnsi="Arial" w:cs="Arial"/>
          <w:i/>
          <w:iCs/>
          <w:sz w:val="20"/>
          <w:szCs w:val="20"/>
        </w:rPr>
        <w:t>are calculated on the assumption that every club achieves top marks in the Sustainability Index</w:t>
      </w:r>
      <w:r w:rsidR="007E0534" w:rsidRPr="001620CE">
        <w:rPr>
          <w:rFonts w:ascii="Arial" w:hAnsi="Arial" w:cs="Arial"/>
          <w:i/>
          <w:iCs/>
          <w:sz w:val="20"/>
          <w:szCs w:val="20"/>
        </w:rPr>
        <w:t>, which includes a metric on wages as % of revenue</w:t>
      </w:r>
      <w:r w:rsidR="00CC3FBB" w:rsidRPr="001620CE">
        <w:rPr>
          <w:rFonts w:ascii="Arial" w:hAnsi="Arial" w:cs="Arial"/>
          <w:i/>
          <w:iCs/>
          <w:sz w:val="20"/>
          <w:szCs w:val="20"/>
        </w:rPr>
        <w:t xml:space="preserve"> and other financial sustainability measures. Full details of the Index can be viewed </w:t>
      </w:r>
      <w:hyperlink r:id="rId9" w:history="1">
        <w:r w:rsidR="00CC3FBB" w:rsidRPr="001620CE">
          <w:rPr>
            <w:rStyle w:val="Hyperlink"/>
            <w:rFonts w:ascii="Arial" w:hAnsi="Arial" w:cs="Arial"/>
            <w:i/>
            <w:iCs/>
            <w:sz w:val="20"/>
            <w:szCs w:val="20"/>
          </w:rPr>
          <w:t>here</w:t>
        </w:r>
      </w:hyperlink>
      <w:r w:rsidR="00CC3FBB" w:rsidRPr="001620CE">
        <w:rPr>
          <w:rFonts w:ascii="Arial" w:hAnsi="Arial" w:cs="Arial"/>
          <w:i/>
          <w:iCs/>
          <w:sz w:val="20"/>
          <w:szCs w:val="20"/>
        </w:rPr>
        <w:t>.</w:t>
      </w:r>
    </w:p>
    <w:sectPr w:rsidR="00D479A5" w:rsidRPr="001620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A7FDB"/>
    <w:multiLevelType w:val="hybridMultilevel"/>
    <w:tmpl w:val="7C58C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BC2083"/>
    <w:multiLevelType w:val="hybridMultilevel"/>
    <w:tmpl w:val="022A6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4E223A"/>
    <w:multiLevelType w:val="hybridMultilevel"/>
    <w:tmpl w:val="79AAF13A"/>
    <w:lvl w:ilvl="0" w:tplc="2DF21B4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021BC7"/>
    <w:multiLevelType w:val="hybridMultilevel"/>
    <w:tmpl w:val="A87AC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7F1FAF"/>
    <w:multiLevelType w:val="hybridMultilevel"/>
    <w:tmpl w:val="577A64E2"/>
    <w:lvl w:ilvl="0" w:tplc="A1AA996A">
      <w:start w:val="1"/>
      <w:numFmt w:val="decimal"/>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D8D303F"/>
    <w:multiLevelType w:val="hybridMultilevel"/>
    <w:tmpl w:val="40882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D556E9"/>
    <w:multiLevelType w:val="hybridMultilevel"/>
    <w:tmpl w:val="FB9A0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84804383">
    <w:abstractNumId w:val="2"/>
  </w:num>
  <w:num w:numId="2" w16cid:durableId="1305961955">
    <w:abstractNumId w:val="4"/>
  </w:num>
  <w:num w:numId="3" w16cid:durableId="1919635720">
    <w:abstractNumId w:val="6"/>
  </w:num>
  <w:num w:numId="4" w16cid:durableId="1007172601">
    <w:abstractNumId w:val="0"/>
  </w:num>
  <w:num w:numId="5" w16cid:durableId="1057820899">
    <w:abstractNumId w:val="1"/>
  </w:num>
  <w:num w:numId="6" w16cid:durableId="400175392">
    <w:abstractNumId w:val="5"/>
  </w:num>
  <w:num w:numId="7" w16cid:durableId="9663565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B4B"/>
    <w:rsid w:val="000317DE"/>
    <w:rsid w:val="000761D6"/>
    <w:rsid w:val="0007687D"/>
    <w:rsid w:val="001620CE"/>
    <w:rsid w:val="00175729"/>
    <w:rsid w:val="001F5E5D"/>
    <w:rsid w:val="002C73A6"/>
    <w:rsid w:val="003B39EA"/>
    <w:rsid w:val="003F4E8E"/>
    <w:rsid w:val="00431B63"/>
    <w:rsid w:val="0045392F"/>
    <w:rsid w:val="005C3671"/>
    <w:rsid w:val="0064214F"/>
    <w:rsid w:val="006811D2"/>
    <w:rsid w:val="00695E37"/>
    <w:rsid w:val="00700A56"/>
    <w:rsid w:val="007152EB"/>
    <w:rsid w:val="007716FA"/>
    <w:rsid w:val="00793E94"/>
    <w:rsid w:val="007E0534"/>
    <w:rsid w:val="00891957"/>
    <w:rsid w:val="00960DDF"/>
    <w:rsid w:val="00966629"/>
    <w:rsid w:val="00977B4B"/>
    <w:rsid w:val="0098652A"/>
    <w:rsid w:val="009F6B56"/>
    <w:rsid w:val="009F716A"/>
    <w:rsid w:val="00A142D1"/>
    <w:rsid w:val="00A63B1B"/>
    <w:rsid w:val="00A64988"/>
    <w:rsid w:val="00A8672C"/>
    <w:rsid w:val="00AE741C"/>
    <w:rsid w:val="00B512DD"/>
    <w:rsid w:val="00BE1ED1"/>
    <w:rsid w:val="00C330D0"/>
    <w:rsid w:val="00CA4BAB"/>
    <w:rsid w:val="00CC3FBB"/>
    <w:rsid w:val="00CF4004"/>
    <w:rsid w:val="00D479A5"/>
    <w:rsid w:val="00D52D7E"/>
    <w:rsid w:val="00D80392"/>
    <w:rsid w:val="00DF68FF"/>
    <w:rsid w:val="00E17D0D"/>
    <w:rsid w:val="00E44894"/>
    <w:rsid w:val="00ED7312"/>
    <w:rsid w:val="00F87039"/>
    <w:rsid w:val="00FB6F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4F4AF"/>
  <w15:chartTrackingRefBased/>
  <w15:docId w15:val="{F2F90A94-7935-4BAB-8153-437C89D21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7B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7B4B"/>
    <w:pPr>
      <w:ind w:left="720"/>
      <w:contextualSpacing/>
    </w:pPr>
  </w:style>
  <w:style w:type="table" w:styleId="TableGrid">
    <w:name w:val="Table Grid"/>
    <w:basedOn w:val="TableNormal"/>
    <w:uiPriority w:val="39"/>
    <w:rsid w:val="007152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60DDF"/>
    <w:rPr>
      <w:color w:val="0563C1" w:themeColor="hyperlink"/>
      <w:u w:val="single"/>
    </w:rPr>
  </w:style>
  <w:style w:type="character" w:styleId="UnresolvedMention">
    <w:name w:val="Unresolved Mention"/>
    <w:basedOn w:val="DefaultParagraphFont"/>
    <w:uiPriority w:val="99"/>
    <w:semiHidden/>
    <w:unhideWhenUsed/>
    <w:rsid w:val="00960D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fairgameuk.org/press-releases/sustainability-index-launch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E90DAA3CAD1674786F28ABB5ECF0CAF" ma:contentTypeVersion="11" ma:contentTypeDescription="Create a new document." ma:contentTypeScope="" ma:versionID="c77f0b9376159cdfa31cf17ac0a259e5">
  <xsd:schema xmlns:xsd="http://www.w3.org/2001/XMLSchema" xmlns:xs="http://www.w3.org/2001/XMLSchema" xmlns:p="http://schemas.microsoft.com/office/2006/metadata/properties" xmlns:ns3="1ffa0ba0-e03f-4733-b144-d62c84367f24" xmlns:ns4="289c2c2e-bf1b-431c-8069-c81eb50dc691" targetNamespace="http://schemas.microsoft.com/office/2006/metadata/properties" ma:root="true" ma:fieldsID="a6e825aac418bcce3db2fd6e0df621a6" ns3:_="" ns4:_="">
    <xsd:import namespace="1ffa0ba0-e03f-4733-b144-d62c84367f24"/>
    <xsd:import namespace="289c2c2e-bf1b-431c-8069-c81eb50dc69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fa0ba0-e03f-4733-b144-d62c84367f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9c2c2e-bf1b-431c-8069-c81eb50dc69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91D8DC-4105-42D4-8BB8-875D84A09362}">
  <ds:schemaRefs>
    <ds:schemaRef ds:uri="http://schemas.microsoft.com/sharepoint/v3/contenttype/forms"/>
  </ds:schemaRefs>
</ds:datastoreItem>
</file>

<file path=customXml/itemProps2.xml><?xml version="1.0" encoding="utf-8"?>
<ds:datastoreItem xmlns:ds="http://schemas.openxmlformats.org/officeDocument/2006/customXml" ds:itemID="{C0A60929-44FB-4050-A5DE-151258555D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fa0ba0-e03f-4733-b144-d62c84367f24"/>
    <ds:schemaRef ds:uri="289c2c2e-bf1b-431c-8069-c81eb50dc6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5F79CC-9719-4D04-BEEE-8BB12F5E5591}">
  <ds:schemaRef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1ffa0ba0-e03f-4733-b144-d62c84367f24"/>
    <ds:schemaRef ds:uri="http://purl.org/dc/terms/"/>
    <ds:schemaRef ds:uri="http://schemas.microsoft.com/office/infopath/2007/PartnerControls"/>
    <ds:schemaRef ds:uri="289c2c2e-bf1b-431c-8069-c81eb50dc69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506</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Niall Couper</dc:creator>
  <cp:keywords/>
  <dc:description/>
  <cp:lastModifiedBy>Niall Couper</cp:lastModifiedBy>
  <cp:revision>2</cp:revision>
  <dcterms:created xsi:type="dcterms:W3CDTF">2023-02-22T22:10:00Z</dcterms:created>
  <dcterms:modified xsi:type="dcterms:W3CDTF">2023-02-22T22:10:00Z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0x010100CE90DAA3CAD1674786F28ABB5ECF0CAF</vt:lpwstr>
  </property>
</Properties>
</file>